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C4" w:rsidRPr="00E907C4" w:rsidRDefault="00E907C4" w:rsidP="00E907C4">
      <w:pPr>
        <w:spacing w:line="560" w:lineRule="exact"/>
        <w:rPr>
          <w:rFonts w:ascii="TimesNewRoman" w:eastAsia="黑体" w:hAnsi="TimesNewRoman" w:cs="TimesNewRoman"/>
          <w:szCs w:val="32"/>
        </w:rPr>
      </w:pPr>
      <w:r w:rsidRPr="00E907C4">
        <w:rPr>
          <w:rFonts w:ascii="TimesNewRoman" w:eastAsia="黑体" w:hAnsi="TimesNewRoman" w:cs="TimesNewRoman" w:hint="eastAsia"/>
          <w:szCs w:val="32"/>
        </w:rPr>
        <w:t>附件</w:t>
      </w:r>
      <w:r w:rsidRPr="00E907C4">
        <w:rPr>
          <w:rFonts w:ascii="TimesNewRoman" w:eastAsia="黑体" w:hAnsi="TimesNewRoman" w:cs="TimesNewRoman" w:hint="eastAsia"/>
          <w:szCs w:val="32"/>
        </w:rPr>
        <w:t>1-1</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Pr="00E907C4" w:rsidRDefault="00E907C4" w:rsidP="00E907C4">
      <w:pPr>
        <w:spacing w:line="560" w:lineRule="exact"/>
        <w:jc w:val="center"/>
        <w:rPr>
          <w:rFonts w:ascii="TimesNewRoman" w:eastAsia="华文中宋" w:hAnsi="TimesNewRoman" w:cs="TimesNewRoman"/>
          <w:b/>
          <w:sz w:val="44"/>
          <w:szCs w:val="44"/>
        </w:rPr>
      </w:pPr>
      <w:r w:rsidRPr="00E907C4">
        <w:rPr>
          <w:rFonts w:ascii="TimesNewRoman" w:eastAsia="华文中宋" w:hAnsi="TimesNewRoman" w:cs="TimesNewRoman" w:hint="eastAsia"/>
          <w:b/>
          <w:sz w:val="44"/>
          <w:szCs w:val="44"/>
        </w:rPr>
        <w:t>淮北市</w:t>
      </w:r>
      <w:r w:rsidR="003C023C" w:rsidRPr="0068567E">
        <w:rPr>
          <w:rFonts w:ascii="TimesNewRoman" w:eastAsia="华文中宋" w:hAnsi="TimesNewRoman" w:cs="TimesNewRoman" w:hint="eastAsia"/>
          <w:b/>
          <w:sz w:val="44"/>
          <w:szCs w:val="44"/>
        </w:rPr>
        <w:t>刘开渠纪念馆</w:t>
      </w:r>
      <w:r w:rsidR="00F45ECB">
        <w:rPr>
          <w:rFonts w:ascii="TimesNewRoman" w:eastAsia="华文中宋" w:hAnsi="TimesNewRoman" w:cs="TimesNewRoman" w:hint="eastAsia"/>
          <w:b/>
          <w:sz w:val="44"/>
          <w:szCs w:val="44"/>
        </w:rPr>
        <w:t>2025</w:t>
      </w:r>
      <w:r w:rsidRPr="00E907C4">
        <w:rPr>
          <w:rFonts w:ascii="TimesNewRoman" w:eastAsia="华文中宋" w:hAnsi="TimesNewRoman" w:cs="TimesNewRoman" w:hint="eastAsia"/>
          <w:b/>
          <w:sz w:val="44"/>
          <w:szCs w:val="44"/>
        </w:rPr>
        <w:t>年</w:t>
      </w:r>
    </w:p>
    <w:p w:rsidR="00E907C4" w:rsidRPr="00E907C4" w:rsidRDefault="003C023C" w:rsidP="00E907C4">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单位</w:t>
      </w:r>
      <w:r w:rsidR="00E907C4" w:rsidRPr="00E907C4">
        <w:rPr>
          <w:rFonts w:ascii="TimesNewRoman" w:eastAsia="华文中宋" w:hAnsi="TimesNewRoman" w:cs="TimesNewRoman" w:hint="eastAsia"/>
          <w:b/>
          <w:sz w:val="44"/>
          <w:szCs w:val="44"/>
        </w:rPr>
        <w:t>预算</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BD640A">
      <w:pPr>
        <w:pStyle w:val="a3"/>
        <w:adjustRightInd w:val="0"/>
        <w:snapToGrid w:val="0"/>
        <w:spacing w:line="560" w:lineRule="exact"/>
        <w:jc w:val="center"/>
        <w:rPr>
          <w:rFonts w:ascii="TimesNewRoman" w:eastAsia="黑体" w:hAnsi="TimesNewRoman" w:cs="TimesNewRoman"/>
          <w:bCs/>
          <w:sz w:val="44"/>
          <w:szCs w:val="44"/>
        </w:rPr>
      </w:pPr>
    </w:p>
    <w:p w:rsidR="00E907C4" w:rsidRPr="00E907C4" w:rsidRDefault="00F45ECB" w:rsidP="00E907C4">
      <w:pPr>
        <w:pStyle w:val="a3"/>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sidR="00E907C4" w:rsidRPr="00E907C4">
        <w:rPr>
          <w:rFonts w:ascii="TimesNewRoman" w:eastAsia="黑体" w:hAnsi="TimesNewRoman" w:cs="TimesNewRoman" w:hint="eastAsia"/>
          <w:bCs/>
          <w:sz w:val="44"/>
          <w:szCs w:val="44"/>
        </w:rPr>
        <w:t>年</w:t>
      </w:r>
      <w:r w:rsidR="003C023C">
        <w:rPr>
          <w:rFonts w:ascii="TimesNewRoman" w:eastAsia="黑体" w:hAnsi="TimesNewRoman" w:cs="TimesNewRoman" w:hint="eastAsia"/>
          <w:bCs/>
          <w:sz w:val="44"/>
          <w:szCs w:val="44"/>
        </w:rPr>
        <w:t>2</w:t>
      </w:r>
      <w:r w:rsidR="00E907C4" w:rsidRPr="00E907C4">
        <w:rPr>
          <w:rFonts w:ascii="TimesNewRoman" w:eastAsia="黑体" w:hAnsi="TimesNewRoman" w:cs="TimesNewRoman" w:hint="eastAsia"/>
          <w:bCs/>
          <w:sz w:val="44"/>
          <w:szCs w:val="44"/>
        </w:rPr>
        <w:t>月</w:t>
      </w:r>
    </w:p>
    <w:p w:rsidR="00E907C4" w:rsidRDefault="00E907C4" w:rsidP="00E907C4"/>
    <w:p w:rsidR="00E907C4"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44"/>
          <w:szCs w:val="44"/>
        </w:rPr>
      </w:pPr>
      <w:r w:rsidRPr="00E907C4">
        <w:rPr>
          <w:rFonts w:ascii="TimesNewRoman" w:eastAsia="黑体" w:hAnsi="TimesNewRoman" w:cs="TimesNewRoman" w:hint="eastAsia"/>
          <w:bCs/>
          <w:sz w:val="44"/>
          <w:szCs w:val="44"/>
        </w:rPr>
        <w:lastRenderedPageBreak/>
        <w:t>目</w:t>
      </w:r>
      <w:r w:rsidRPr="00E907C4">
        <w:rPr>
          <w:rFonts w:ascii="TimesNewRoman" w:eastAsia="黑体" w:hAnsi="TimesNewRoman" w:cs="TimesNewRoman" w:hint="eastAsia"/>
          <w:bCs/>
          <w:sz w:val="44"/>
          <w:szCs w:val="44"/>
        </w:rPr>
        <w:t xml:space="preserve">  </w:t>
      </w:r>
      <w:r w:rsidRPr="00E907C4">
        <w:rPr>
          <w:rFonts w:ascii="TimesNewRoman" w:eastAsia="黑体" w:hAnsi="TimesNewRoman" w:cs="TimesNewRoman" w:hint="eastAsia"/>
          <w:bCs/>
          <w:sz w:val="44"/>
          <w:szCs w:val="44"/>
        </w:rPr>
        <w:t>录</w:t>
      </w:r>
    </w:p>
    <w:p w:rsidR="00E907C4" w:rsidRDefault="00E907C4" w:rsidP="00E907C4"/>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第一部分</w:t>
      </w:r>
      <w:r w:rsidR="002D11E3">
        <w:rPr>
          <w:rFonts w:ascii="TimesNewRoman" w:eastAsia="仿宋_GB2312" w:hAnsi="TimesNewRoman" w:cs="TimesNewRoman" w:hint="eastAsia"/>
          <w:b/>
          <w:sz w:val="32"/>
          <w:szCs w:val="32"/>
        </w:rPr>
        <w:t xml:space="preserve"> </w:t>
      </w:r>
      <w:r w:rsidR="004214A8">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概况</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主要职责</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4214A8">
        <w:rPr>
          <w:rFonts w:ascii="TimesNewRoman" w:eastAsia="仿宋_GB2312" w:hAnsi="TimesNewRoman" w:cs="TimesNewRoman" w:hint="eastAsia"/>
          <w:bCs/>
          <w:sz w:val="32"/>
          <w:szCs w:val="32"/>
        </w:rPr>
        <w:t>单位</w:t>
      </w:r>
      <w:r w:rsidRPr="00E907C4">
        <w:rPr>
          <w:rFonts w:ascii="TimesNewRoman" w:eastAsia="仿宋_GB2312" w:hAnsi="TimesNewRoman" w:cs="TimesNewRoman" w:hint="eastAsia"/>
          <w:bCs/>
          <w:sz w:val="32"/>
          <w:szCs w:val="32"/>
        </w:rPr>
        <w:t>预算构成</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 xml:space="preserve"> </w:t>
      </w:r>
      <w:r>
        <w:rPr>
          <w:rFonts w:ascii="TimesNewRoman" w:eastAsia="仿宋_GB2312" w:hAnsi="TimesNewRoman" w:cs="TimesNewRoman" w:hint="eastAsia"/>
          <w:bCs/>
          <w:sz w:val="32"/>
          <w:szCs w:val="32"/>
        </w:rPr>
        <w:t>、</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年度主要工作任务</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第二部分</w:t>
      </w:r>
      <w:r w:rsidRPr="00E907C4">
        <w:rPr>
          <w:rFonts w:ascii="TimesNewRoman" w:eastAsia="仿宋_GB2312" w:hAnsi="TimesNewRoman" w:cs="TimesNewRoman" w:hint="eastAsia"/>
          <w:b/>
          <w:sz w:val="32"/>
          <w:szCs w:val="32"/>
        </w:rPr>
        <w:t xml:space="preserve"> </w:t>
      </w:r>
      <w:r w:rsidR="00F45ECB">
        <w:rPr>
          <w:rFonts w:ascii="TimesNewRoman" w:eastAsia="仿宋_GB2312" w:hAnsi="TimesNewRoman" w:cs="TimesNewRoman" w:hint="eastAsia"/>
          <w:b/>
          <w:sz w:val="32"/>
          <w:szCs w:val="32"/>
        </w:rPr>
        <w:t>2025</w:t>
      </w:r>
      <w:r w:rsidRPr="00E907C4">
        <w:rPr>
          <w:rFonts w:ascii="TimesNewRoman" w:eastAsia="仿宋_GB2312" w:hAnsi="TimesNewRoman" w:cs="TimesNewRoman" w:hint="eastAsia"/>
          <w:b/>
          <w:sz w:val="32"/>
          <w:szCs w:val="32"/>
        </w:rPr>
        <w:t>年</w:t>
      </w:r>
      <w:r w:rsidR="004214A8">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预算表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bookmarkStart w:id="0" w:name="OLE_LINK1"/>
      <w:r w:rsidR="0068567E">
        <w:rPr>
          <w:rFonts w:ascii="TimesNewRoman" w:eastAsia="仿宋_GB2312" w:hAnsi="TimesNewRoman" w:cs="TimesNewRoman" w:hint="eastAsia"/>
          <w:bCs/>
          <w:sz w:val="32"/>
          <w:szCs w:val="32"/>
        </w:rPr>
        <w:t>刘开渠纪念馆</w:t>
      </w:r>
      <w:bookmarkEnd w:id="0"/>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年收入总表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年支出总表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年财政拨款收支总表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年一般公共预算基本支出表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年政府性基金预算支出表</w:t>
      </w:r>
    </w:p>
    <w:p w:rsidR="00E907C4" w:rsidRPr="00E907C4" w:rsidRDefault="00E907C4"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年国有资本经营预算支出表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年项目支出表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年政府采购支出表</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年政府购买服务支出表</w:t>
      </w:r>
    </w:p>
    <w:p w:rsidR="00BD640A" w:rsidRPr="00BD640A" w:rsidRDefault="00BD640A"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68567E">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bCs/>
          <w:sz w:val="32"/>
          <w:szCs w:val="32"/>
        </w:rPr>
        <w:t>2025</w:t>
      </w:r>
      <w:r w:rsidRPr="00BD640A">
        <w:rPr>
          <w:rFonts w:ascii="TimesNewRoman" w:eastAsia="仿宋_GB2312" w:hAnsi="TimesNewRoman" w:cs="TimesNewRoman"/>
          <w:bCs/>
          <w:sz w:val="32"/>
          <w:szCs w:val="32"/>
        </w:rPr>
        <w:t>年通用资产配置支出表</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第三部分</w:t>
      </w:r>
      <w:r w:rsidRPr="00E907C4">
        <w:rPr>
          <w:rFonts w:ascii="TimesNewRoman" w:eastAsia="仿宋_GB2312" w:hAnsi="TimesNewRoman" w:cs="TimesNewRoman" w:hint="eastAsia"/>
          <w:b/>
          <w:sz w:val="32"/>
          <w:szCs w:val="32"/>
        </w:rPr>
        <w:t xml:space="preserve"> </w:t>
      </w:r>
      <w:r w:rsidR="00F45ECB">
        <w:rPr>
          <w:rFonts w:ascii="TimesNewRoman" w:eastAsia="仿宋_GB2312" w:hAnsi="TimesNewRoman" w:cs="TimesNewRoman" w:hint="eastAsia"/>
          <w:b/>
          <w:sz w:val="32"/>
          <w:szCs w:val="32"/>
        </w:rPr>
        <w:t>2025</w:t>
      </w:r>
      <w:r w:rsidRPr="00E907C4">
        <w:rPr>
          <w:rFonts w:ascii="TimesNewRoman" w:eastAsia="仿宋_GB2312" w:hAnsi="TimesNewRoman" w:cs="TimesNewRoman" w:hint="eastAsia"/>
          <w:b/>
          <w:sz w:val="32"/>
          <w:szCs w:val="32"/>
        </w:rPr>
        <w:t>年</w:t>
      </w:r>
      <w:r w:rsidR="004214A8">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预算情况说明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lastRenderedPageBreak/>
        <w:t>2</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年收入总表的说明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年支出总表的说明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年财政拨款收支总表的说明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年一般公共预算基本支出表的说明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年政府性基金预算支出表的说明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年国有资本经营预算支出表的说明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年项目支出表的说明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年政府采购支出表的说明</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年政府购买服务支出表的说明</w:t>
      </w:r>
    </w:p>
    <w:p w:rsidR="00C76B5C" w:rsidRPr="00E907C4" w:rsidRDefault="00C76B5C"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w:t>
      </w:r>
      <w:r w:rsidR="000C760E">
        <w:rPr>
          <w:rFonts w:ascii="TimesNewRoman" w:eastAsia="仿宋_GB2312" w:hAnsi="TimesNewRoman" w:cs="TimesNewRoman" w:hint="eastAsia"/>
          <w:bCs/>
          <w:sz w:val="32"/>
          <w:szCs w:val="32"/>
        </w:rPr>
        <w:t>关于</w:t>
      </w:r>
      <w:r w:rsidR="000C760E">
        <w:rPr>
          <w:rFonts w:ascii="TimesNewRoman" w:eastAsia="仿宋_GB2312" w:hAnsi="TimesNewRoman" w:cs="TimesNewRoman"/>
          <w:bCs/>
          <w:sz w:val="32"/>
          <w:szCs w:val="32"/>
        </w:rPr>
        <w:t>2025</w:t>
      </w:r>
      <w:r w:rsidR="000C760E">
        <w:rPr>
          <w:rFonts w:ascii="TimesNewRoman" w:eastAsia="仿宋_GB2312" w:hAnsi="TimesNewRoman" w:cs="TimesNewRoman" w:hint="eastAsia"/>
          <w:bCs/>
          <w:sz w:val="32"/>
          <w:szCs w:val="32"/>
        </w:rPr>
        <w:t>年通用资产配置支出表的说明</w:t>
      </w:r>
    </w:p>
    <w:p w:rsidR="00E907C4" w:rsidRPr="00E907C4" w:rsidRDefault="00C76B5C"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13</w:t>
      </w:r>
      <w:r w:rsidR="00E907C4" w:rsidRPr="00E907C4">
        <w:rPr>
          <w:rFonts w:ascii="TimesNewRoman" w:eastAsia="仿宋_GB2312" w:hAnsi="TimesNewRoman" w:cs="TimesNewRoman" w:hint="eastAsia"/>
          <w:bCs/>
          <w:sz w:val="32"/>
          <w:szCs w:val="32"/>
        </w:rPr>
        <w:t>、其他重要事项情况说明</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第四部分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名词解释</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第五部分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其它公开事项</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、淮北市</w:t>
      </w:r>
      <w:r w:rsidR="00C97CC6">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年部门预算纳入绩效考评项目表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、淮北市</w:t>
      </w:r>
      <w:r w:rsidR="00C97CC6">
        <w:rPr>
          <w:rFonts w:ascii="TimesNewRoman" w:eastAsia="仿宋_GB2312" w:hAnsi="TimesNewRoman" w:cs="TimesNewRoman" w:hint="eastAsia"/>
          <w:bCs/>
          <w:sz w:val="32"/>
          <w:szCs w:val="32"/>
        </w:rPr>
        <w:t>刘开渠纪念馆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年部门预算专项资金管理清单（专栏公开）</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第一部分</w:t>
      </w:r>
      <w:r w:rsidR="002D11E3">
        <w:rPr>
          <w:rFonts w:ascii="TimesNewRoman" w:eastAsia="黑体" w:hAnsi="TimesNewRoman" w:cs="TimesNewRoman" w:hint="eastAsia"/>
          <w:bCs/>
          <w:sz w:val="36"/>
          <w:szCs w:val="36"/>
        </w:rPr>
        <w:t xml:space="preserve"> </w:t>
      </w:r>
      <w:r w:rsidR="002D11E3">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概况</w:t>
      </w:r>
    </w:p>
    <w:p w:rsidR="00E907C4" w:rsidRPr="00E907C4" w:rsidRDefault="00E907C4" w:rsidP="005E5C76">
      <w:pPr>
        <w:pStyle w:val="a3"/>
        <w:adjustRightInd w:val="0"/>
        <w:snapToGrid w:val="0"/>
        <w:spacing w:line="560" w:lineRule="exact"/>
        <w:ind w:firstLineChars="200" w:firstLine="640"/>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一、主要职责</w:t>
      </w:r>
    </w:p>
    <w:p w:rsidR="00A75362" w:rsidRPr="00A75362" w:rsidRDefault="00E907C4" w:rsidP="005E5C76">
      <w:pPr>
        <w:ind w:firstLineChars="100" w:firstLine="320"/>
        <w:rPr>
          <w:rFonts w:ascii="宋体" w:eastAsia="宋体" w:hAnsi="宋体" w:cs="宋体"/>
          <w:kern w:val="0"/>
          <w:sz w:val="24"/>
          <w:szCs w:val="24"/>
        </w:rPr>
      </w:pPr>
      <w:r w:rsidRPr="00E907C4">
        <w:rPr>
          <w:rFonts w:ascii="TimesNewRoman" w:eastAsia="仿宋_GB2312" w:hAnsi="TimesNewRoman" w:cs="TimesNewRoman" w:hint="eastAsia"/>
          <w:bCs/>
          <w:sz w:val="32"/>
          <w:szCs w:val="32"/>
        </w:rPr>
        <w:t>（一）</w:t>
      </w:r>
      <w:r w:rsidR="00A75362" w:rsidRPr="00A75362">
        <w:rPr>
          <w:rFonts w:ascii="仿宋_GB2312" w:eastAsia="仿宋_GB2312" w:hAnsi="宋体" w:cs="宋体" w:hint="eastAsia"/>
          <w:color w:val="000000"/>
          <w:kern w:val="0"/>
          <w:sz w:val="32"/>
          <w:szCs w:val="32"/>
        </w:rPr>
        <w:t>组织拟定全馆中长期规划和年度计划，并组织实</w:t>
      </w:r>
    </w:p>
    <w:p w:rsidR="00A75362" w:rsidRDefault="00A75362" w:rsidP="00A75362">
      <w:pPr>
        <w:ind w:firstLine="1125"/>
        <w:rPr>
          <w:rFonts w:ascii="仿宋_GB2312" w:eastAsia="仿宋_GB2312" w:hAnsi="宋体" w:cs="宋体"/>
          <w:color w:val="000000"/>
          <w:kern w:val="0"/>
          <w:sz w:val="32"/>
          <w:szCs w:val="32"/>
        </w:rPr>
      </w:pPr>
      <w:r w:rsidRPr="00A75362">
        <w:rPr>
          <w:rFonts w:ascii="仿宋_GB2312" w:eastAsia="仿宋_GB2312" w:hAnsi="宋体" w:cs="宋体" w:hint="eastAsia"/>
          <w:color w:val="000000"/>
          <w:kern w:val="0"/>
          <w:sz w:val="32"/>
          <w:szCs w:val="32"/>
        </w:rPr>
        <w:lastRenderedPageBreak/>
        <w:t>施；</w:t>
      </w:r>
    </w:p>
    <w:p w:rsidR="00A75362" w:rsidRPr="00A75362" w:rsidRDefault="00E907C4" w:rsidP="00A75362">
      <w:pPr>
        <w:ind w:firstLineChars="400" w:firstLine="1280"/>
        <w:rPr>
          <w:rFonts w:ascii="宋体" w:eastAsia="宋体" w:hAnsi="宋体" w:cs="宋体"/>
          <w:kern w:val="0"/>
          <w:sz w:val="24"/>
          <w:szCs w:val="24"/>
        </w:rPr>
      </w:pPr>
      <w:r w:rsidRPr="00E907C4">
        <w:rPr>
          <w:rFonts w:ascii="TimesNewRoman" w:eastAsia="仿宋_GB2312" w:hAnsi="TimesNewRoman" w:cs="TimesNewRoman" w:hint="eastAsia"/>
          <w:bCs/>
          <w:sz w:val="32"/>
          <w:szCs w:val="32"/>
        </w:rPr>
        <w:t>（二）</w:t>
      </w:r>
      <w:r w:rsidR="00A75362" w:rsidRPr="00A75362">
        <w:rPr>
          <w:rFonts w:ascii="仿宋_GB2312" w:eastAsia="仿宋_GB2312" w:hAnsi="宋体" w:cs="宋体" w:hint="eastAsia"/>
          <w:color w:val="000000"/>
          <w:kern w:val="0"/>
          <w:sz w:val="32"/>
          <w:szCs w:val="32"/>
        </w:rPr>
        <w:t>负责征集、收藏刘开渠生前的艺术珍品和国内外知</w:t>
      </w:r>
    </w:p>
    <w:p w:rsidR="00A75362" w:rsidRDefault="00A75362" w:rsidP="00A75362">
      <w:pPr>
        <w:ind w:firstLine="1125"/>
        <w:rPr>
          <w:rFonts w:ascii="仿宋_GB2312" w:eastAsia="仿宋_GB2312" w:hAnsi="宋体" w:cs="宋体"/>
          <w:color w:val="000000"/>
          <w:kern w:val="0"/>
          <w:sz w:val="32"/>
          <w:szCs w:val="32"/>
        </w:rPr>
      </w:pPr>
      <w:r w:rsidRPr="00A75362">
        <w:rPr>
          <w:rFonts w:ascii="仿宋_GB2312" w:eastAsia="仿宋_GB2312" w:hAnsi="宋体" w:cs="宋体" w:hint="eastAsia"/>
          <w:color w:val="000000"/>
          <w:kern w:val="0"/>
          <w:sz w:val="32"/>
          <w:szCs w:val="32"/>
        </w:rPr>
        <w:t>名人士艺术作品；</w:t>
      </w:r>
    </w:p>
    <w:p w:rsidR="00A75362" w:rsidRDefault="00A75362" w:rsidP="00A75362">
      <w:pPr>
        <w:ind w:firstLine="1125"/>
        <w:rPr>
          <w:rFonts w:ascii="仿宋_GB2312" w:eastAsia="仿宋_GB2312"/>
          <w:color w:val="000000"/>
          <w:sz w:val="32"/>
          <w:szCs w:val="32"/>
        </w:rPr>
      </w:pPr>
      <w:r>
        <w:rPr>
          <w:rFonts w:ascii="仿宋_GB2312" w:eastAsia="仿宋_GB2312" w:hint="eastAsia"/>
          <w:color w:val="000000"/>
          <w:sz w:val="32"/>
          <w:szCs w:val="32"/>
        </w:rPr>
        <w:t>（三）负责馆内雕塑、字画等作品的规范管理，做好对外展示工作；</w:t>
      </w:r>
    </w:p>
    <w:p w:rsidR="00A75362" w:rsidRDefault="00A75362" w:rsidP="00A75362">
      <w:pPr>
        <w:ind w:firstLine="1125"/>
        <w:rPr>
          <w:rFonts w:ascii="仿宋_GB2312" w:eastAsia="仿宋_GB2312"/>
          <w:color w:val="000000"/>
          <w:sz w:val="32"/>
          <w:szCs w:val="32"/>
        </w:rPr>
      </w:pPr>
      <w:r>
        <w:rPr>
          <w:rFonts w:ascii="仿宋_GB2312" w:eastAsia="仿宋_GB2312" w:hint="eastAsia"/>
          <w:color w:val="000000"/>
          <w:sz w:val="32"/>
          <w:szCs w:val="32"/>
        </w:rPr>
        <w:t>（四）接受社会各界捐赠的艺术作品；</w:t>
      </w:r>
    </w:p>
    <w:p w:rsidR="00A75362" w:rsidRDefault="00A75362" w:rsidP="00A75362">
      <w:pPr>
        <w:ind w:firstLine="1125"/>
        <w:rPr>
          <w:rFonts w:ascii="仿宋_GB2312" w:eastAsia="仿宋_GB2312"/>
          <w:color w:val="000000"/>
          <w:sz w:val="32"/>
          <w:szCs w:val="32"/>
        </w:rPr>
      </w:pPr>
      <w:r>
        <w:rPr>
          <w:rFonts w:ascii="仿宋_GB2312" w:eastAsia="仿宋_GB2312" w:hint="eastAsia"/>
          <w:color w:val="000000"/>
          <w:sz w:val="32"/>
          <w:szCs w:val="32"/>
        </w:rPr>
        <w:t>（五）以文化为载体，为各项交流搭建平台；</w:t>
      </w:r>
    </w:p>
    <w:p w:rsidR="00A75362" w:rsidRDefault="00A75362" w:rsidP="00A75362">
      <w:pPr>
        <w:ind w:firstLine="1125"/>
        <w:rPr>
          <w:rFonts w:ascii="仿宋_GB2312" w:eastAsia="仿宋_GB2312"/>
          <w:color w:val="000000"/>
          <w:sz w:val="32"/>
          <w:szCs w:val="32"/>
        </w:rPr>
      </w:pPr>
      <w:r>
        <w:rPr>
          <w:rFonts w:ascii="仿宋_GB2312" w:eastAsia="仿宋_GB2312" w:hint="eastAsia"/>
          <w:color w:val="000000"/>
          <w:sz w:val="32"/>
          <w:szCs w:val="32"/>
        </w:rPr>
        <w:t>（六）组织个人字画、艺术等作品展览；</w:t>
      </w:r>
    </w:p>
    <w:p w:rsidR="00A75362" w:rsidRDefault="00A75362" w:rsidP="00A75362">
      <w:pPr>
        <w:ind w:firstLine="1125"/>
        <w:rPr>
          <w:rFonts w:ascii="仿宋_GB2312" w:eastAsia="仿宋_GB2312"/>
          <w:color w:val="000000"/>
          <w:sz w:val="32"/>
          <w:szCs w:val="32"/>
        </w:rPr>
      </w:pPr>
      <w:r>
        <w:rPr>
          <w:rFonts w:ascii="仿宋_GB2312" w:eastAsia="仿宋_GB2312" w:hint="eastAsia"/>
          <w:color w:val="000000"/>
          <w:sz w:val="32"/>
          <w:szCs w:val="32"/>
        </w:rPr>
        <w:t>（七）规范各项艺术作品的档案记录；、</w:t>
      </w:r>
    </w:p>
    <w:p w:rsidR="00A75362" w:rsidRPr="00A75362" w:rsidRDefault="00A75362" w:rsidP="00A75362">
      <w:pPr>
        <w:ind w:firstLine="1125"/>
        <w:rPr>
          <w:rFonts w:ascii="宋体" w:eastAsia="宋体" w:hAnsi="宋体" w:cs="宋体"/>
          <w:kern w:val="0"/>
          <w:sz w:val="24"/>
          <w:szCs w:val="24"/>
        </w:rPr>
      </w:pPr>
      <w:r>
        <w:rPr>
          <w:rFonts w:ascii="仿宋_GB2312" w:eastAsia="仿宋_GB2312" w:hint="eastAsia"/>
          <w:color w:val="000000"/>
          <w:sz w:val="32"/>
          <w:szCs w:val="32"/>
        </w:rPr>
        <w:t>（八）承办上级交办的其他各项工作。</w:t>
      </w:r>
    </w:p>
    <w:p w:rsidR="00E907C4" w:rsidRPr="00E907C4" w:rsidRDefault="00E907C4" w:rsidP="005E5C76">
      <w:pPr>
        <w:pStyle w:val="a3"/>
        <w:adjustRightInd w:val="0"/>
        <w:snapToGrid w:val="0"/>
        <w:spacing w:line="560" w:lineRule="exact"/>
        <w:ind w:firstLineChars="300" w:firstLine="960"/>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二、</w:t>
      </w:r>
      <w:r w:rsidR="00A75362">
        <w:rPr>
          <w:rFonts w:ascii="TimesNewRoman" w:eastAsia="黑体" w:hAnsi="TimesNewRoman" w:cs="TimesNewRoman" w:hint="eastAsia"/>
          <w:bCs/>
          <w:sz w:val="32"/>
          <w:szCs w:val="32"/>
        </w:rPr>
        <w:t>单位</w:t>
      </w:r>
      <w:r w:rsidRPr="00E907C4">
        <w:rPr>
          <w:rFonts w:ascii="TimesNewRoman" w:eastAsia="黑体" w:hAnsi="TimesNewRoman" w:cs="TimesNewRoman" w:hint="eastAsia"/>
          <w:bCs/>
          <w:sz w:val="32"/>
          <w:szCs w:val="32"/>
        </w:rPr>
        <w:t>预算构成</w:t>
      </w:r>
      <w:bookmarkStart w:id="1" w:name="_GoBack"/>
      <w:bookmarkEnd w:id="1"/>
    </w:p>
    <w:p w:rsidR="000462F7" w:rsidRDefault="000462F7" w:rsidP="000462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从预算单位构成看，淮北市刘开渠纪念馆</w:t>
      </w:r>
      <w:r w:rsidR="000C760E">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年度单位预算仅包括</w:t>
      </w:r>
      <w:r>
        <w:rPr>
          <w:rFonts w:ascii="TimesNewRoman" w:eastAsia="仿宋_GB2312" w:hAnsi="TimesNewRoman" w:cs="TimesNewRoman" w:hint="eastAsia"/>
          <w:sz w:val="32"/>
          <w:szCs w:val="32"/>
        </w:rPr>
        <w:t>1</w:t>
      </w:r>
      <w:r>
        <w:rPr>
          <w:rFonts w:ascii="TimesNewRoman" w:eastAsia="仿宋_GB2312" w:hAnsi="TimesNewRoman" w:cs="TimesNewRoman" w:hint="eastAsia"/>
          <w:sz w:val="32"/>
          <w:szCs w:val="32"/>
        </w:rPr>
        <w:t>个本级预算，无其他下属单位预算。</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三、</w:t>
      </w:r>
      <w:r w:rsidR="00F45ECB">
        <w:rPr>
          <w:rFonts w:ascii="TimesNewRoman" w:eastAsia="黑体" w:hAnsi="TimesNewRoman" w:cs="TimesNewRoman" w:hint="eastAsia"/>
          <w:bCs/>
          <w:sz w:val="32"/>
          <w:szCs w:val="32"/>
        </w:rPr>
        <w:t>2025</w:t>
      </w:r>
      <w:r w:rsidRPr="00E907C4">
        <w:rPr>
          <w:rFonts w:ascii="TimesNewRoman" w:eastAsia="黑体" w:hAnsi="TimesNewRoman" w:cs="TimesNewRoman" w:hint="eastAsia"/>
          <w:bCs/>
          <w:sz w:val="32"/>
          <w:szCs w:val="32"/>
        </w:rPr>
        <w:t>年度主要工作任务</w:t>
      </w:r>
    </w:p>
    <w:p w:rsidR="00BA4470" w:rsidRDefault="00E907C4" w:rsidP="00BA4470">
      <w:pPr>
        <w:pStyle w:val="a3"/>
        <w:adjustRightInd w:val="0"/>
        <w:snapToGrid w:val="0"/>
        <w:spacing w:line="560" w:lineRule="exact"/>
        <w:ind w:firstLineChars="196" w:firstLine="627"/>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（一）</w:t>
      </w:r>
      <w:r w:rsidR="00EE1F56" w:rsidRPr="00EE1F56">
        <w:rPr>
          <w:rFonts w:ascii="TimesNewRoman" w:eastAsia="仿宋_GB2312" w:hAnsi="TimesNewRoman" w:cs="TimesNewRoman" w:hint="eastAsia"/>
          <w:bCs/>
          <w:sz w:val="32"/>
          <w:szCs w:val="32"/>
        </w:rPr>
        <w:t>刘开渠纪念馆展陈改造提升。根据中央文件要求，爱国主义教育示范基地“经审批后，可每</w:t>
      </w:r>
      <w:r w:rsidR="00EE1F56" w:rsidRPr="00EE1F56">
        <w:rPr>
          <w:rFonts w:ascii="TimesNewRoman" w:eastAsia="仿宋_GB2312" w:hAnsi="TimesNewRoman" w:cs="TimesNewRoman" w:hint="eastAsia"/>
          <w:bCs/>
          <w:sz w:val="32"/>
          <w:szCs w:val="32"/>
        </w:rPr>
        <w:t>5</w:t>
      </w:r>
      <w:r w:rsidR="00EE1F56" w:rsidRPr="00EE1F56">
        <w:rPr>
          <w:rFonts w:ascii="TimesNewRoman" w:eastAsia="仿宋_GB2312" w:hAnsi="TimesNewRoman" w:cs="TimesNewRoman" w:hint="eastAsia"/>
          <w:bCs/>
          <w:sz w:val="32"/>
          <w:szCs w:val="32"/>
        </w:rPr>
        <w:t>年进行一次局部改陈布展，每</w:t>
      </w:r>
      <w:r w:rsidR="00EE1F56" w:rsidRPr="00EE1F56">
        <w:rPr>
          <w:rFonts w:ascii="TimesNewRoman" w:eastAsia="仿宋_GB2312" w:hAnsi="TimesNewRoman" w:cs="TimesNewRoman" w:hint="eastAsia"/>
          <w:bCs/>
          <w:sz w:val="32"/>
          <w:szCs w:val="32"/>
        </w:rPr>
        <w:t>10</w:t>
      </w:r>
      <w:r w:rsidR="00EE1F56" w:rsidRPr="00EE1F56">
        <w:rPr>
          <w:rFonts w:ascii="TimesNewRoman" w:eastAsia="仿宋_GB2312" w:hAnsi="TimesNewRoman" w:cs="TimesNewRoman" w:hint="eastAsia"/>
          <w:bCs/>
          <w:sz w:val="32"/>
          <w:szCs w:val="32"/>
        </w:rPr>
        <w:t>年进行一次全面改陈布展”。我馆为省级爱国主义教育基地，上次展陈提升时间为</w:t>
      </w:r>
      <w:r w:rsidR="00EE1F56" w:rsidRPr="00EE1F56">
        <w:rPr>
          <w:rFonts w:ascii="TimesNewRoman" w:eastAsia="仿宋_GB2312" w:hAnsi="TimesNewRoman" w:cs="TimesNewRoman" w:hint="eastAsia"/>
          <w:bCs/>
          <w:sz w:val="32"/>
          <w:szCs w:val="32"/>
        </w:rPr>
        <w:t>2013</w:t>
      </w:r>
      <w:r w:rsidR="00EE1F56" w:rsidRPr="00EE1F56">
        <w:rPr>
          <w:rFonts w:ascii="TimesNewRoman" w:eastAsia="仿宋_GB2312" w:hAnsi="TimesNewRoman" w:cs="TimesNewRoman" w:hint="eastAsia"/>
          <w:bCs/>
          <w:sz w:val="32"/>
          <w:szCs w:val="32"/>
        </w:rPr>
        <w:t>年，距今</w:t>
      </w:r>
      <w:r w:rsidR="00EE1F56" w:rsidRPr="00EE1F56">
        <w:rPr>
          <w:rFonts w:ascii="TimesNewRoman" w:eastAsia="仿宋_GB2312" w:hAnsi="TimesNewRoman" w:cs="TimesNewRoman" w:hint="eastAsia"/>
          <w:bCs/>
          <w:sz w:val="32"/>
          <w:szCs w:val="32"/>
        </w:rPr>
        <w:t>12</w:t>
      </w:r>
      <w:r w:rsidR="00EE1F56" w:rsidRPr="00EE1F56">
        <w:rPr>
          <w:rFonts w:ascii="TimesNewRoman" w:eastAsia="仿宋_GB2312" w:hAnsi="TimesNewRoman" w:cs="TimesNewRoman" w:hint="eastAsia"/>
          <w:bCs/>
          <w:sz w:val="32"/>
          <w:szCs w:val="32"/>
        </w:rPr>
        <w:t>年之久。</w:t>
      </w:r>
      <w:r w:rsidR="00EE1F56" w:rsidRPr="00EE1F56">
        <w:rPr>
          <w:rFonts w:ascii="TimesNewRoman" w:eastAsia="仿宋_GB2312" w:hAnsi="TimesNewRoman" w:cs="TimesNewRoman" w:hint="eastAsia"/>
          <w:bCs/>
          <w:sz w:val="32"/>
          <w:szCs w:val="32"/>
        </w:rPr>
        <w:t>2024</w:t>
      </w:r>
      <w:r w:rsidR="00EE1F56" w:rsidRPr="00EE1F56">
        <w:rPr>
          <w:rFonts w:ascii="TimesNewRoman" w:eastAsia="仿宋_GB2312" w:hAnsi="TimesNewRoman" w:cs="TimesNewRoman" w:hint="eastAsia"/>
          <w:bCs/>
          <w:sz w:val="32"/>
          <w:szCs w:val="32"/>
        </w:rPr>
        <w:t>年是刘开渠诞辰</w:t>
      </w:r>
      <w:r w:rsidR="00EE1F56" w:rsidRPr="00EE1F56">
        <w:rPr>
          <w:rFonts w:ascii="TimesNewRoman" w:eastAsia="仿宋_GB2312" w:hAnsi="TimesNewRoman" w:cs="TimesNewRoman" w:hint="eastAsia"/>
          <w:bCs/>
          <w:sz w:val="32"/>
          <w:szCs w:val="32"/>
        </w:rPr>
        <w:t>120</w:t>
      </w:r>
      <w:r w:rsidR="00EE1F56" w:rsidRPr="00EE1F56">
        <w:rPr>
          <w:rFonts w:ascii="TimesNewRoman" w:eastAsia="仿宋_GB2312" w:hAnsi="TimesNewRoman" w:cs="TimesNewRoman" w:hint="eastAsia"/>
          <w:bCs/>
          <w:sz w:val="32"/>
          <w:szCs w:val="32"/>
        </w:rPr>
        <w:t>周年，</w:t>
      </w:r>
      <w:r w:rsidR="00EE1F56" w:rsidRPr="00EE1F56">
        <w:rPr>
          <w:rFonts w:ascii="TimesNewRoman" w:eastAsia="仿宋_GB2312" w:hAnsi="TimesNewRoman" w:cs="TimesNewRoman" w:hint="eastAsia"/>
          <w:bCs/>
          <w:sz w:val="32"/>
          <w:szCs w:val="32"/>
        </w:rPr>
        <w:t>2025</w:t>
      </w:r>
      <w:r w:rsidR="00EE1F56" w:rsidRPr="00EE1F56">
        <w:rPr>
          <w:rFonts w:ascii="TimesNewRoman" w:eastAsia="仿宋_GB2312" w:hAnsi="TimesNewRoman" w:cs="TimesNewRoman" w:hint="eastAsia"/>
          <w:bCs/>
          <w:sz w:val="32"/>
          <w:szCs w:val="32"/>
        </w:rPr>
        <w:t>年恰逢刘开渠纪念馆开馆</w:t>
      </w:r>
      <w:r w:rsidR="00EE1F56" w:rsidRPr="00EE1F56">
        <w:rPr>
          <w:rFonts w:ascii="TimesNewRoman" w:eastAsia="仿宋_GB2312" w:hAnsi="TimesNewRoman" w:cs="TimesNewRoman" w:hint="eastAsia"/>
          <w:bCs/>
          <w:sz w:val="32"/>
          <w:szCs w:val="32"/>
        </w:rPr>
        <w:t>30</w:t>
      </w:r>
      <w:r w:rsidR="00EE1F56" w:rsidRPr="00EE1F56">
        <w:rPr>
          <w:rFonts w:ascii="TimesNewRoman" w:eastAsia="仿宋_GB2312" w:hAnsi="TimesNewRoman" w:cs="TimesNewRoman" w:hint="eastAsia"/>
          <w:bCs/>
          <w:sz w:val="32"/>
          <w:szCs w:val="32"/>
        </w:rPr>
        <w:t>周年，以此为契机，拟对场馆进行一次全面改陈布展。今年以来，我馆一直在通过市委宣传部、市财政、市文物局等多渠道申报项目，积极争取国家资金。拟于</w:t>
      </w:r>
      <w:r w:rsidR="00EE1F56" w:rsidRPr="00EE1F56">
        <w:rPr>
          <w:rFonts w:ascii="TimesNewRoman" w:eastAsia="仿宋_GB2312" w:hAnsi="TimesNewRoman" w:cs="TimesNewRoman" w:hint="eastAsia"/>
          <w:bCs/>
          <w:sz w:val="32"/>
          <w:szCs w:val="32"/>
        </w:rPr>
        <w:t>2025</w:t>
      </w:r>
      <w:r w:rsidR="00EE1F56" w:rsidRPr="00EE1F56">
        <w:rPr>
          <w:rFonts w:ascii="TimesNewRoman" w:eastAsia="仿宋_GB2312" w:hAnsi="TimesNewRoman" w:cs="TimesNewRoman" w:hint="eastAsia"/>
          <w:bCs/>
          <w:sz w:val="32"/>
          <w:szCs w:val="32"/>
        </w:rPr>
        <w:t>年</w:t>
      </w:r>
      <w:r w:rsidR="00EE1F56" w:rsidRPr="00EE1F56">
        <w:rPr>
          <w:rFonts w:ascii="TimesNewRoman" w:eastAsia="仿宋_GB2312" w:hAnsi="TimesNewRoman" w:cs="TimesNewRoman" w:hint="eastAsia"/>
          <w:bCs/>
          <w:sz w:val="32"/>
          <w:szCs w:val="32"/>
        </w:rPr>
        <w:t>8</w:t>
      </w:r>
      <w:r w:rsidR="00EE1F56" w:rsidRPr="00EE1F56">
        <w:rPr>
          <w:rFonts w:ascii="TimesNewRoman" w:eastAsia="仿宋_GB2312" w:hAnsi="TimesNewRoman" w:cs="TimesNewRoman" w:hint="eastAsia"/>
          <w:bCs/>
          <w:sz w:val="32"/>
          <w:szCs w:val="32"/>
        </w:rPr>
        <w:t>月底完成。</w:t>
      </w:r>
    </w:p>
    <w:p w:rsidR="00EE1F56" w:rsidRPr="00EE1F56" w:rsidRDefault="00EE1F56" w:rsidP="00BA4470">
      <w:pPr>
        <w:pStyle w:val="a3"/>
        <w:adjustRightInd w:val="0"/>
        <w:snapToGrid w:val="0"/>
        <w:spacing w:line="560" w:lineRule="exact"/>
        <w:ind w:firstLineChars="196" w:firstLine="627"/>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lastRenderedPageBreak/>
        <w:t>（</w:t>
      </w:r>
      <w:r>
        <w:rPr>
          <w:rFonts w:ascii="TimesNewRoman" w:eastAsia="仿宋_GB2312" w:hAnsi="TimesNewRoman" w:cs="TimesNewRoman" w:hint="eastAsia"/>
          <w:bCs/>
          <w:sz w:val="32"/>
          <w:szCs w:val="32"/>
        </w:rPr>
        <w:t>二</w:t>
      </w:r>
      <w:r w:rsidRPr="00E907C4">
        <w:rPr>
          <w:rFonts w:ascii="TimesNewRoman" w:eastAsia="仿宋_GB2312" w:hAnsi="TimesNewRoman" w:cs="TimesNewRoman" w:hint="eastAsia"/>
          <w:bCs/>
          <w:sz w:val="32"/>
          <w:szCs w:val="32"/>
        </w:rPr>
        <w:t>）</w:t>
      </w:r>
      <w:r w:rsidRPr="00EE1F56">
        <w:rPr>
          <w:rFonts w:ascii="TimesNewRoman" w:eastAsia="仿宋_GB2312" w:hAnsi="TimesNewRoman" w:cs="TimesNewRoman" w:hint="eastAsia"/>
          <w:bCs/>
          <w:sz w:val="32"/>
          <w:szCs w:val="32"/>
        </w:rPr>
        <w:t>举办刘开渠纪念馆开馆</w:t>
      </w:r>
      <w:r w:rsidRPr="00EE1F56">
        <w:rPr>
          <w:rFonts w:ascii="TimesNewRoman" w:eastAsia="仿宋_GB2312" w:hAnsi="TimesNewRoman" w:cs="TimesNewRoman" w:hint="eastAsia"/>
          <w:bCs/>
          <w:sz w:val="32"/>
          <w:szCs w:val="32"/>
        </w:rPr>
        <w:t>30</w:t>
      </w:r>
      <w:r w:rsidRPr="00EE1F56">
        <w:rPr>
          <w:rFonts w:ascii="TimesNewRoman" w:eastAsia="仿宋_GB2312" w:hAnsi="TimesNewRoman" w:cs="TimesNewRoman" w:hint="eastAsia"/>
          <w:bCs/>
          <w:sz w:val="32"/>
          <w:szCs w:val="32"/>
        </w:rPr>
        <w:t>周年活动。拟于</w:t>
      </w:r>
      <w:r w:rsidRPr="00EE1F56">
        <w:rPr>
          <w:rFonts w:ascii="TimesNewRoman" w:eastAsia="仿宋_GB2312" w:hAnsi="TimesNewRoman" w:cs="TimesNewRoman" w:hint="eastAsia"/>
          <w:bCs/>
          <w:sz w:val="32"/>
          <w:szCs w:val="32"/>
        </w:rPr>
        <w:t>2025</w:t>
      </w:r>
      <w:r w:rsidRPr="00EE1F56">
        <w:rPr>
          <w:rFonts w:ascii="TimesNewRoman" w:eastAsia="仿宋_GB2312" w:hAnsi="TimesNewRoman" w:cs="TimesNewRoman" w:hint="eastAsia"/>
          <w:bCs/>
          <w:sz w:val="32"/>
          <w:szCs w:val="32"/>
        </w:rPr>
        <w:t>年</w:t>
      </w:r>
      <w:r w:rsidRPr="00EE1F56">
        <w:rPr>
          <w:rFonts w:ascii="TimesNewRoman" w:eastAsia="仿宋_GB2312" w:hAnsi="TimesNewRoman" w:cs="TimesNewRoman" w:hint="eastAsia"/>
          <w:bCs/>
          <w:sz w:val="32"/>
          <w:szCs w:val="32"/>
        </w:rPr>
        <w:t>9</w:t>
      </w:r>
      <w:r w:rsidRPr="00EE1F56">
        <w:rPr>
          <w:rFonts w:ascii="TimesNewRoman" w:eastAsia="仿宋_GB2312" w:hAnsi="TimesNewRoman" w:cs="TimesNewRoman" w:hint="eastAsia"/>
          <w:bCs/>
          <w:sz w:val="32"/>
          <w:szCs w:val="32"/>
        </w:rPr>
        <w:t>月底在淮北举办刘开渠纪念馆开馆</w:t>
      </w:r>
      <w:r w:rsidRPr="00EE1F56">
        <w:rPr>
          <w:rFonts w:ascii="TimesNewRoman" w:eastAsia="仿宋_GB2312" w:hAnsi="TimesNewRoman" w:cs="TimesNewRoman" w:hint="eastAsia"/>
          <w:bCs/>
          <w:sz w:val="32"/>
          <w:szCs w:val="32"/>
        </w:rPr>
        <w:t>30</w:t>
      </w:r>
      <w:r w:rsidRPr="00EE1F56">
        <w:rPr>
          <w:rFonts w:ascii="TimesNewRoman" w:eastAsia="仿宋_GB2312" w:hAnsi="TimesNewRoman" w:cs="TimesNewRoman" w:hint="eastAsia"/>
          <w:bCs/>
          <w:sz w:val="32"/>
          <w:szCs w:val="32"/>
        </w:rPr>
        <w:t>周年暨人民艺术家、一代美术宗师刘开渠艺术研讨会。活动内容有：举行《刘开渠铜像》揭幕仪式。淮北市领导、嘉宾为铜像揭幕。（刘开渠学生章永浩创作）、举行捐赠仪式（中国雕塑学会会长、上海大学美术学院院长、著名雕塑家曾成钢捐赠雕塑作品）。（更新中）、参观刘开渠纪念馆碑廊、祭拜刘开渠墓地、举办人民艺术家、一代美术宗师刘开渠艺术研讨会。出席领导、嘉宾：淮北市主要领导，特邀中国美术家协会主席、曾任中央美术学院原院长、中国美术馆原馆长范迪安，中央文史研究馆副馆长，中国文学艺术界联合会副主席，中国美术家协会名誉主席冯远，中国美术馆馆长，全国政协常委，民盟中央委员会副主席、中国美术家协会副主席，中央美术学院原党委书记、刘开渠艺术研究院院长盛杨，中央美院硕士研究生导师，全国城雕委委员、艺委会秘书长，中国雕塑学会名誉会长曹春生，中国雕塑学会会长、上海大学上海美术学院院长、上海市美术家协会第九届主席、中国美术家协会副主席曾成钢等专家、学者及刘开渠先生的学生和家属共有约</w:t>
      </w:r>
      <w:r w:rsidRPr="00EE1F56">
        <w:rPr>
          <w:rFonts w:ascii="TimesNewRoman" w:eastAsia="仿宋_GB2312" w:hAnsi="TimesNewRoman" w:cs="TimesNewRoman" w:hint="eastAsia"/>
          <w:bCs/>
          <w:sz w:val="32"/>
          <w:szCs w:val="32"/>
        </w:rPr>
        <w:t>30</w:t>
      </w:r>
      <w:r w:rsidRPr="00EE1F56">
        <w:rPr>
          <w:rFonts w:ascii="TimesNewRoman" w:eastAsia="仿宋_GB2312" w:hAnsi="TimesNewRoman" w:cs="TimesNewRoman" w:hint="eastAsia"/>
          <w:bCs/>
          <w:sz w:val="32"/>
          <w:szCs w:val="32"/>
        </w:rPr>
        <w:t>位出席活动。</w:t>
      </w:r>
    </w:p>
    <w:p w:rsidR="00EE1F56" w:rsidRPr="00EE1F56" w:rsidRDefault="00EE1F56" w:rsidP="00EE1F56">
      <w:pPr>
        <w:pStyle w:val="a3"/>
        <w:adjustRightInd w:val="0"/>
        <w:snapToGrid w:val="0"/>
        <w:spacing w:line="560" w:lineRule="exact"/>
        <w:ind w:firstLineChars="196" w:firstLine="627"/>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三</w:t>
      </w:r>
      <w:r w:rsidRPr="00E907C4">
        <w:rPr>
          <w:rFonts w:ascii="TimesNewRoman" w:eastAsia="仿宋_GB2312" w:hAnsi="TimesNewRoman" w:cs="TimesNewRoman" w:hint="eastAsia"/>
          <w:bCs/>
          <w:sz w:val="32"/>
          <w:szCs w:val="32"/>
        </w:rPr>
        <w:t>）</w:t>
      </w:r>
      <w:r w:rsidRPr="00EE1F56">
        <w:rPr>
          <w:rFonts w:ascii="TimesNewRoman" w:eastAsia="仿宋_GB2312" w:hAnsi="TimesNewRoman" w:cs="TimesNewRoman" w:hint="eastAsia"/>
          <w:bCs/>
          <w:sz w:val="32"/>
          <w:szCs w:val="32"/>
        </w:rPr>
        <w:t>继续做好免费开放工作。开展各类社教活动、开展送展览、讲座下基层活动，继续举办各类临时展览，不断创新宣传宣教方式，充分发挥纪念馆社会教育宣传功能。</w:t>
      </w:r>
    </w:p>
    <w:p w:rsidR="00EE1F56" w:rsidRPr="00EE1F56" w:rsidRDefault="00EE1F56" w:rsidP="00EE1F56">
      <w:pPr>
        <w:pStyle w:val="a3"/>
        <w:adjustRightInd w:val="0"/>
        <w:snapToGrid w:val="0"/>
        <w:spacing w:line="560" w:lineRule="exact"/>
        <w:ind w:firstLineChars="196" w:firstLine="627"/>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四</w:t>
      </w:r>
      <w:r w:rsidRPr="00E907C4">
        <w:rPr>
          <w:rFonts w:ascii="TimesNewRoman" w:eastAsia="仿宋_GB2312" w:hAnsi="TimesNewRoman" w:cs="TimesNewRoman" w:hint="eastAsia"/>
          <w:bCs/>
          <w:sz w:val="32"/>
          <w:szCs w:val="32"/>
        </w:rPr>
        <w:t>）</w:t>
      </w:r>
      <w:r w:rsidRPr="00EE1F56">
        <w:rPr>
          <w:rFonts w:ascii="TimesNewRoman" w:eastAsia="仿宋_GB2312" w:hAnsi="TimesNewRoman" w:cs="TimesNewRoman" w:hint="eastAsia"/>
          <w:bCs/>
          <w:sz w:val="32"/>
          <w:szCs w:val="32"/>
        </w:rPr>
        <w:t>加强馆际间的交流与合作。互通有无，交流合作，进一步丰富和发展我馆文化事业，扩大对外宣传和影响。</w:t>
      </w:r>
    </w:p>
    <w:p w:rsidR="00EE1F56" w:rsidRPr="00EE1F56" w:rsidRDefault="00EE1F56" w:rsidP="00EE1F56">
      <w:pPr>
        <w:pStyle w:val="a3"/>
        <w:adjustRightInd w:val="0"/>
        <w:snapToGrid w:val="0"/>
        <w:spacing w:line="560" w:lineRule="exact"/>
        <w:ind w:firstLineChars="196" w:firstLine="627"/>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lastRenderedPageBreak/>
        <w:t>（</w:t>
      </w:r>
      <w:r>
        <w:rPr>
          <w:rFonts w:ascii="TimesNewRoman" w:eastAsia="仿宋_GB2312" w:hAnsi="TimesNewRoman" w:cs="TimesNewRoman" w:hint="eastAsia"/>
          <w:bCs/>
          <w:sz w:val="32"/>
          <w:szCs w:val="32"/>
        </w:rPr>
        <w:t>五</w:t>
      </w:r>
      <w:r w:rsidRPr="00E907C4">
        <w:rPr>
          <w:rFonts w:ascii="TimesNewRoman" w:eastAsia="仿宋_GB2312" w:hAnsi="TimesNewRoman" w:cs="TimesNewRoman" w:hint="eastAsia"/>
          <w:bCs/>
          <w:sz w:val="32"/>
          <w:szCs w:val="32"/>
        </w:rPr>
        <w:t>）</w:t>
      </w:r>
      <w:r w:rsidRPr="00EE1F56">
        <w:rPr>
          <w:rFonts w:ascii="TimesNewRoman" w:eastAsia="仿宋_GB2312" w:hAnsi="TimesNewRoman" w:cs="TimesNewRoman" w:hint="eastAsia"/>
          <w:bCs/>
          <w:sz w:val="32"/>
          <w:szCs w:val="32"/>
        </w:rPr>
        <w:t>提升讲解服务水平。加强对新招讲解员培训，向社会招募志愿者讲解员，弥补讲解员少的问题，提升讲解接待水平，积极发挥教育基地作用，展示淮北窗口形象。</w:t>
      </w:r>
    </w:p>
    <w:p w:rsidR="00EE1F56" w:rsidRPr="00EE1F56" w:rsidRDefault="00EE1F56" w:rsidP="00EE1F56">
      <w:pPr>
        <w:pStyle w:val="a3"/>
        <w:adjustRightInd w:val="0"/>
        <w:snapToGrid w:val="0"/>
        <w:spacing w:line="560" w:lineRule="exact"/>
        <w:ind w:firstLineChars="196" w:firstLine="627"/>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六</w:t>
      </w:r>
      <w:r w:rsidRPr="00E907C4">
        <w:rPr>
          <w:rFonts w:ascii="TimesNewRoman" w:eastAsia="仿宋_GB2312" w:hAnsi="TimesNewRoman" w:cs="TimesNewRoman" w:hint="eastAsia"/>
          <w:bCs/>
          <w:sz w:val="32"/>
          <w:szCs w:val="32"/>
        </w:rPr>
        <w:t>）</w:t>
      </w:r>
      <w:r w:rsidRPr="00EE1F56">
        <w:rPr>
          <w:rFonts w:ascii="TimesNewRoman" w:eastAsia="仿宋_GB2312" w:hAnsi="TimesNewRoman" w:cs="TimesNewRoman" w:hint="eastAsia"/>
          <w:bCs/>
          <w:sz w:val="32"/>
          <w:szCs w:val="32"/>
        </w:rPr>
        <w:t>加强文物管理和保护工作。按照《文物法》规定，加强馆内藏品的管理和防自然损坏，做好雕塑、字画、资料等文物的保管和保护，切实抓好人防、技防和物防的“三防”工作，确保藏品安全。做好预防性保护项目实施工作。按期实施完成刘开渠纪念馆馆藏文物预防性保护项目。</w:t>
      </w:r>
    </w:p>
    <w:p w:rsidR="00EE1F56" w:rsidRPr="00EE1F56" w:rsidRDefault="00EE1F56" w:rsidP="00EE1F56">
      <w:pPr>
        <w:pStyle w:val="a3"/>
        <w:adjustRightInd w:val="0"/>
        <w:snapToGrid w:val="0"/>
        <w:spacing w:line="560" w:lineRule="exact"/>
        <w:ind w:firstLineChars="196" w:firstLine="627"/>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七</w:t>
      </w:r>
      <w:r w:rsidRPr="00E907C4">
        <w:rPr>
          <w:rFonts w:ascii="TimesNewRoman" w:eastAsia="仿宋_GB2312" w:hAnsi="TimesNewRoman" w:cs="TimesNewRoman" w:hint="eastAsia"/>
          <w:bCs/>
          <w:sz w:val="32"/>
          <w:szCs w:val="32"/>
        </w:rPr>
        <w:t>）</w:t>
      </w:r>
      <w:r w:rsidRPr="00EE1F56">
        <w:rPr>
          <w:rFonts w:ascii="TimesNewRoman" w:eastAsia="仿宋_GB2312" w:hAnsi="TimesNewRoman" w:cs="TimesNewRoman" w:hint="eastAsia"/>
          <w:bCs/>
          <w:sz w:val="32"/>
          <w:szCs w:val="32"/>
        </w:rPr>
        <w:t>加强学术研究。进一步挖掘刘开渠文化内涵，进一步扩大宣传“开渠”名人品牌力度。</w:t>
      </w:r>
    </w:p>
    <w:p w:rsidR="00E907C4" w:rsidRPr="00E907C4" w:rsidRDefault="00EE1F56" w:rsidP="00EE1F56">
      <w:pPr>
        <w:pStyle w:val="a3"/>
        <w:adjustRightInd w:val="0"/>
        <w:snapToGrid w:val="0"/>
        <w:spacing w:line="560" w:lineRule="exact"/>
        <w:ind w:firstLineChars="196" w:firstLine="627"/>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八</w:t>
      </w:r>
      <w:r w:rsidRPr="00E907C4">
        <w:rPr>
          <w:rFonts w:ascii="TimesNewRoman" w:eastAsia="仿宋_GB2312" w:hAnsi="TimesNewRoman" w:cs="TimesNewRoman" w:hint="eastAsia"/>
          <w:bCs/>
          <w:sz w:val="32"/>
          <w:szCs w:val="32"/>
        </w:rPr>
        <w:t>）</w:t>
      </w:r>
      <w:r w:rsidRPr="00EE1F56">
        <w:rPr>
          <w:rFonts w:ascii="TimesNewRoman" w:eastAsia="仿宋_GB2312" w:hAnsi="TimesNewRoman" w:cs="TimesNewRoman" w:hint="eastAsia"/>
          <w:bCs/>
          <w:sz w:val="32"/>
          <w:szCs w:val="32"/>
        </w:rPr>
        <w:t>完成上级安排的其他各项工作任务。</w:t>
      </w:r>
    </w:p>
    <w:p w:rsidR="00E907C4"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第二部分</w:t>
      </w:r>
      <w:r w:rsidRPr="00E907C4">
        <w:rPr>
          <w:rFonts w:ascii="TimesNewRoman" w:eastAsia="黑体" w:hAnsi="TimesNewRoman" w:cs="TimesNewRoman" w:hint="eastAsia"/>
          <w:bCs/>
          <w:sz w:val="36"/>
          <w:szCs w:val="36"/>
        </w:rPr>
        <w:t xml:space="preserve"> </w:t>
      </w:r>
      <w:r w:rsidR="00F45ECB">
        <w:rPr>
          <w:rFonts w:ascii="TimesNewRoman" w:eastAsia="黑体" w:hAnsi="TimesNewRoman" w:cs="TimesNewRoman" w:hint="eastAsia"/>
          <w:bCs/>
          <w:sz w:val="36"/>
          <w:szCs w:val="36"/>
        </w:rPr>
        <w:t>2025</w:t>
      </w:r>
      <w:r w:rsidRPr="00E907C4">
        <w:rPr>
          <w:rFonts w:ascii="TimesNewRoman" w:eastAsia="黑体" w:hAnsi="TimesNewRoman" w:cs="TimesNewRoman" w:hint="eastAsia"/>
          <w:bCs/>
          <w:sz w:val="36"/>
          <w:szCs w:val="36"/>
        </w:rPr>
        <w:t>年</w:t>
      </w:r>
      <w:r w:rsidR="002D11E3">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预算表</w:t>
      </w:r>
    </w:p>
    <w:p w:rsidR="00E907C4" w:rsidRPr="009A3CA3" w:rsidRDefault="00E907C4" w:rsidP="009A3CA3">
      <w:pPr>
        <w:pStyle w:val="a3"/>
        <w:adjustRightInd w:val="0"/>
        <w:snapToGrid w:val="0"/>
        <w:spacing w:line="560" w:lineRule="exact"/>
        <w:ind w:firstLineChars="196" w:firstLine="627"/>
        <w:jc w:val="center"/>
        <w:rPr>
          <w:rFonts w:ascii="TimesNewRoman" w:eastAsia="仿宋_GB2312" w:hAnsi="TimesNewRoman" w:cs="TimesNewRoman"/>
          <w:bCs/>
          <w:sz w:val="32"/>
          <w:szCs w:val="32"/>
        </w:rPr>
      </w:pPr>
      <w:r w:rsidRPr="009A3CA3">
        <w:rPr>
          <w:rFonts w:ascii="TimesNewRoman" w:eastAsia="仿宋_GB2312" w:hAnsi="TimesNewRoman" w:cs="TimesNewRoman" w:hint="eastAsia"/>
          <w:bCs/>
          <w:sz w:val="32"/>
          <w:szCs w:val="32"/>
        </w:rPr>
        <w:t>见附件</w:t>
      </w:r>
      <w:r w:rsidRPr="009A3CA3">
        <w:rPr>
          <w:rFonts w:ascii="TimesNewRoman" w:eastAsia="仿宋_GB2312" w:hAnsi="TimesNewRoman" w:cs="TimesNewRoman" w:hint="eastAsia"/>
          <w:bCs/>
          <w:sz w:val="32"/>
          <w:szCs w:val="32"/>
        </w:rPr>
        <w:t>1-2</w:t>
      </w:r>
    </w:p>
    <w:p w:rsidR="00E907C4" w:rsidRDefault="00E907C4" w:rsidP="00E907C4">
      <w:r>
        <w:t xml:space="preserve">                                        </w:t>
      </w: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第三部分</w:t>
      </w:r>
      <w:r w:rsidRPr="00E907C4">
        <w:rPr>
          <w:rFonts w:ascii="TimesNewRoman" w:eastAsia="黑体" w:hAnsi="TimesNewRoman" w:cs="TimesNewRoman" w:hint="eastAsia"/>
          <w:bCs/>
          <w:sz w:val="36"/>
          <w:szCs w:val="36"/>
        </w:rPr>
        <w:t xml:space="preserve"> </w:t>
      </w:r>
      <w:r w:rsidR="00F45ECB">
        <w:rPr>
          <w:rFonts w:ascii="TimesNewRoman" w:eastAsia="黑体" w:hAnsi="TimesNewRoman" w:cs="TimesNewRoman" w:hint="eastAsia"/>
          <w:bCs/>
          <w:sz w:val="36"/>
          <w:szCs w:val="36"/>
        </w:rPr>
        <w:t>2025</w:t>
      </w:r>
      <w:r w:rsidRPr="00E907C4">
        <w:rPr>
          <w:rFonts w:ascii="TimesNewRoman" w:eastAsia="黑体" w:hAnsi="TimesNewRoman" w:cs="TimesNewRoman" w:hint="eastAsia"/>
          <w:bCs/>
          <w:sz w:val="36"/>
          <w:szCs w:val="36"/>
        </w:rPr>
        <w:t>年</w:t>
      </w:r>
      <w:r w:rsidR="002D11E3">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预算情况说明</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一、关于</w:t>
      </w:r>
      <w:r w:rsidR="00F45ECB">
        <w:rPr>
          <w:rFonts w:ascii="TimesNewRoman" w:eastAsia="黑体" w:hAnsi="TimesNewRoman" w:cs="TimesNewRoman" w:hint="eastAsia"/>
          <w:bCs/>
          <w:sz w:val="32"/>
          <w:szCs w:val="32"/>
        </w:rPr>
        <w:t>2025</w:t>
      </w:r>
      <w:r w:rsidRPr="00E907C4">
        <w:rPr>
          <w:rFonts w:ascii="TimesNewRoman" w:eastAsia="黑体" w:hAnsi="TimesNewRoman" w:cs="TimesNewRoman" w:hint="eastAsia"/>
          <w:bCs/>
          <w:sz w:val="32"/>
          <w:szCs w:val="32"/>
        </w:rPr>
        <w:t>年收支总表的说明</w:t>
      </w:r>
    </w:p>
    <w:p w:rsidR="000462F7" w:rsidRDefault="00E907C4" w:rsidP="000462F7">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sz w:val="32"/>
          <w:szCs w:val="32"/>
        </w:rPr>
        <w:t>按照综合预算的原则，淮北市</w:t>
      </w:r>
      <w:r w:rsidR="000462F7">
        <w:rPr>
          <w:rFonts w:ascii="TimesNewRoman" w:eastAsia="仿宋_GB2312" w:hAnsi="TimesNewRoman" w:cs="TimesNewRoman" w:hint="eastAsia"/>
          <w:sz w:val="32"/>
          <w:szCs w:val="32"/>
        </w:rPr>
        <w:t>刘开渠纪念馆所有收入和支出均纳入单位</w:t>
      </w:r>
      <w:r w:rsidRPr="009A3CA3">
        <w:rPr>
          <w:rFonts w:ascii="TimesNewRoman" w:eastAsia="仿宋_GB2312" w:hAnsi="TimesNewRoman" w:cs="TimesNewRoman" w:hint="eastAsia"/>
          <w:sz w:val="32"/>
          <w:szCs w:val="32"/>
        </w:rPr>
        <w:t>预算管理。淮北市</w:t>
      </w:r>
      <w:r w:rsidR="000462F7">
        <w:rPr>
          <w:rFonts w:ascii="TimesNewRoman" w:eastAsia="仿宋_GB2312" w:hAnsi="TimesNewRoman" w:cs="TimesNewRoman" w:hint="eastAsia"/>
          <w:sz w:val="32"/>
          <w:szCs w:val="32"/>
        </w:rPr>
        <w:t>刘开渠纪念馆</w:t>
      </w:r>
      <w:r w:rsidR="00F45ECB">
        <w:rPr>
          <w:rFonts w:ascii="TimesNewRoman" w:eastAsia="仿宋_GB2312" w:hAnsi="TimesNewRoman" w:cs="TimesNewRoman" w:hint="eastAsia"/>
          <w:sz w:val="32"/>
          <w:szCs w:val="32"/>
        </w:rPr>
        <w:t>2025</w:t>
      </w:r>
      <w:r w:rsidRPr="009A3CA3">
        <w:rPr>
          <w:rFonts w:ascii="TimesNewRoman" w:eastAsia="仿宋_GB2312" w:hAnsi="TimesNewRoman" w:cs="TimesNewRoman" w:hint="eastAsia"/>
          <w:sz w:val="32"/>
          <w:szCs w:val="32"/>
        </w:rPr>
        <w:t>年收支总预算</w:t>
      </w:r>
      <w:r w:rsidR="000462F7">
        <w:rPr>
          <w:rFonts w:ascii="TimesNewRoman" w:eastAsia="仿宋_GB2312" w:hAnsi="TimesNewRoman" w:cs="TimesNewRoman" w:hint="eastAsia"/>
          <w:sz w:val="32"/>
          <w:szCs w:val="32"/>
        </w:rPr>
        <w:t>248.39</w:t>
      </w:r>
      <w:r w:rsidRPr="009A3CA3">
        <w:rPr>
          <w:rFonts w:ascii="TimesNewRoman" w:eastAsia="仿宋_GB2312" w:hAnsi="TimesNewRoman" w:cs="TimesNewRoman" w:hint="eastAsia"/>
          <w:sz w:val="32"/>
          <w:szCs w:val="32"/>
        </w:rPr>
        <w:t>万元，收入包括</w:t>
      </w:r>
      <w:r w:rsidR="00975F1A">
        <w:rPr>
          <w:rFonts w:ascii="TimesNewRoman" w:eastAsia="仿宋_GB2312" w:hAnsi="TimesNewRoman" w:cs="TimesNewRoman" w:hint="eastAsia"/>
          <w:sz w:val="32"/>
          <w:szCs w:val="32"/>
        </w:rPr>
        <w:t>全部是</w:t>
      </w:r>
      <w:r w:rsidRPr="009A3CA3">
        <w:rPr>
          <w:rFonts w:ascii="TimesNewRoman" w:eastAsia="仿宋_GB2312" w:hAnsi="TimesNewRoman" w:cs="TimesNewRoman" w:hint="eastAsia"/>
          <w:sz w:val="32"/>
          <w:szCs w:val="32"/>
        </w:rPr>
        <w:t>一般公共预算拨款收入</w:t>
      </w:r>
      <w:r w:rsidR="00975F1A">
        <w:rPr>
          <w:rFonts w:ascii="TimesNewRoman" w:eastAsia="仿宋_GB2312" w:hAnsi="TimesNewRoman" w:cs="TimesNewRoman" w:hint="eastAsia"/>
          <w:sz w:val="32"/>
          <w:szCs w:val="32"/>
        </w:rPr>
        <w:t>248.39</w:t>
      </w:r>
      <w:r w:rsidR="00975F1A" w:rsidRPr="009A3CA3">
        <w:rPr>
          <w:rFonts w:ascii="TimesNewRoman" w:eastAsia="仿宋_GB2312" w:hAnsi="TimesNewRoman" w:cs="TimesNewRoman" w:hint="eastAsia"/>
          <w:sz w:val="32"/>
          <w:szCs w:val="32"/>
        </w:rPr>
        <w:t>万元</w:t>
      </w:r>
      <w:r w:rsidR="00975F1A">
        <w:rPr>
          <w:rFonts w:ascii="TimesNewRoman" w:eastAsia="仿宋_GB2312" w:hAnsi="TimesNewRoman" w:cs="TimesNewRoman" w:hint="eastAsia"/>
          <w:sz w:val="32"/>
          <w:szCs w:val="32"/>
        </w:rPr>
        <w:t>。</w:t>
      </w:r>
      <w:r w:rsidRPr="009A3CA3">
        <w:rPr>
          <w:rFonts w:ascii="TimesNewRoman" w:eastAsia="仿宋_GB2312" w:hAnsi="TimesNewRoman" w:cs="TimesNewRoman" w:hint="eastAsia"/>
          <w:sz w:val="32"/>
          <w:szCs w:val="32"/>
        </w:rPr>
        <w:t>支出包</w:t>
      </w:r>
      <w:r w:rsidRPr="009A3CA3">
        <w:rPr>
          <w:rFonts w:ascii="TimesNewRoman" w:eastAsia="仿宋_GB2312" w:hAnsi="TimesNewRoman" w:cs="TimesNewRoman" w:hint="eastAsia"/>
          <w:sz w:val="32"/>
          <w:szCs w:val="32"/>
        </w:rPr>
        <w:lastRenderedPageBreak/>
        <w:t>括：</w:t>
      </w:r>
      <w:r w:rsidR="000462F7">
        <w:rPr>
          <w:rFonts w:ascii="TimesNewRoman" w:eastAsia="仿宋_GB2312" w:hAnsi="TimesNewRoman" w:cs="TimesNewRoman" w:hint="eastAsia"/>
          <w:sz w:val="32"/>
          <w:szCs w:val="32"/>
        </w:rPr>
        <w:t>文化旅游体育与传媒支出、社会保障和就业支出、卫生健康支出、住房保障支出。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二、关于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年收入总表的说明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975F1A">
        <w:rPr>
          <w:rFonts w:ascii="TimesNewRoman" w:eastAsia="仿宋_GB2312" w:hAnsi="TimesNewRoman" w:cs="TimesNewRoman" w:hint="eastAsia"/>
          <w:sz w:val="32"/>
          <w:szCs w:val="32"/>
        </w:rPr>
        <w:t>刘开渠纪念馆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年收入预算</w:t>
      </w:r>
      <w:r w:rsidR="00975F1A">
        <w:rPr>
          <w:rFonts w:ascii="TimesNewRoman" w:eastAsia="仿宋_GB2312" w:hAnsi="TimesNewRoman" w:cs="TimesNewRoman" w:hint="eastAsia"/>
          <w:sz w:val="32"/>
          <w:szCs w:val="32"/>
        </w:rPr>
        <w:t>248.39</w:t>
      </w:r>
      <w:r w:rsidRPr="009A3CA3">
        <w:rPr>
          <w:rFonts w:ascii="TimesNewRoman" w:eastAsia="仿宋_GB2312" w:hAnsi="TimesNewRoman" w:cs="TimesNewRoman" w:hint="eastAsia"/>
          <w:kern w:val="0"/>
          <w:sz w:val="32"/>
          <w:szCs w:val="32"/>
        </w:rPr>
        <w:t>万元，其中，本年收入</w:t>
      </w:r>
      <w:r w:rsidR="00975F1A">
        <w:rPr>
          <w:rFonts w:ascii="TimesNewRoman" w:eastAsia="仿宋_GB2312" w:hAnsi="TimesNewRoman" w:cs="TimesNewRoman" w:hint="eastAsia"/>
          <w:sz w:val="32"/>
          <w:szCs w:val="32"/>
        </w:rPr>
        <w:t>248.39</w:t>
      </w:r>
      <w:r w:rsidRPr="009A3CA3">
        <w:rPr>
          <w:rFonts w:ascii="TimesNewRoman" w:eastAsia="仿宋_GB2312" w:hAnsi="TimesNewRoman" w:cs="TimesNewRoman" w:hint="eastAsia"/>
          <w:kern w:val="0"/>
          <w:sz w:val="32"/>
          <w:szCs w:val="32"/>
        </w:rPr>
        <w:t>万元。</w:t>
      </w:r>
    </w:p>
    <w:p w:rsidR="00962660" w:rsidRDefault="00E907C4" w:rsidP="00962660">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（一）本年收入</w:t>
      </w:r>
      <w:r w:rsidR="00975F1A">
        <w:rPr>
          <w:rFonts w:ascii="TimesNewRoman" w:eastAsia="仿宋_GB2312" w:hAnsi="TimesNewRoman" w:cs="TimesNewRoman" w:hint="eastAsia"/>
          <w:sz w:val="32"/>
          <w:szCs w:val="32"/>
        </w:rPr>
        <w:t>248.39</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主要包括：一般公共预算拨款收入</w:t>
      </w:r>
      <w:r w:rsidR="00975F1A">
        <w:rPr>
          <w:rFonts w:ascii="TimesNewRoman" w:eastAsia="仿宋_GB2312" w:hAnsi="TimesNewRoman" w:cs="TimesNewRoman" w:hint="eastAsia"/>
          <w:sz w:val="32"/>
          <w:szCs w:val="32"/>
        </w:rPr>
        <w:t>248.39</w:t>
      </w:r>
      <w:r w:rsidRPr="009A3CA3">
        <w:rPr>
          <w:rFonts w:ascii="TimesNewRoman" w:eastAsia="仿宋_GB2312" w:hAnsi="TimesNewRoman" w:cs="TimesNewRoman" w:hint="eastAsia"/>
          <w:kern w:val="0"/>
          <w:sz w:val="32"/>
          <w:szCs w:val="32"/>
        </w:rPr>
        <w:t>万元，占</w:t>
      </w:r>
      <w:r w:rsidR="00975F1A">
        <w:rPr>
          <w:rFonts w:ascii="TimesNewRoman" w:eastAsia="仿宋_GB2312" w:hAnsi="TimesNewRoman" w:cs="TimesNewRoman" w:hint="eastAsia"/>
          <w:kern w:val="0"/>
          <w:sz w:val="32"/>
          <w:szCs w:val="32"/>
        </w:rPr>
        <w:t>100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年预算增加</w:t>
      </w:r>
      <w:r w:rsidR="00975F1A">
        <w:rPr>
          <w:rFonts w:ascii="TimesNewRoman" w:eastAsia="仿宋_GB2312" w:hAnsi="TimesNewRoman" w:cs="TimesNewRoman" w:hint="eastAsia"/>
          <w:kern w:val="0"/>
          <w:sz w:val="32"/>
          <w:szCs w:val="32"/>
        </w:rPr>
        <w:t>5.75</w:t>
      </w:r>
      <w:r w:rsidRPr="009A3CA3">
        <w:rPr>
          <w:rFonts w:ascii="TimesNewRoman" w:eastAsia="仿宋_GB2312" w:hAnsi="TimesNewRoman" w:cs="TimesNewRoman" w:hint="eastAsia"/>
          <w:kern w:val="0"/>
          <w:sz w:val="32"/>
          <w:szCs w:val="32"/>
        </w:rPr>
        <w:t>万元，增长</w:t>
      </w:r>
      <w:r w:rsidR="00975F1A">
        <w:rPr>
          <w:rFonts w:ascii="TimesNewRoman" w:eastAsia="仿宋_GB2312" w:hAnsi="TimesNewRoman" w:cs="TimesNewRoman" w:hint="eastAsia"/>
          <w:kern w:val="0"/>
          <w:sz w:val="32"/>
          <w:szCs w:val="32"/>
        </w:rPr>
        <w:t>2.37</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975F1A">
        <w:rPr>
          <w:rFonts w:ascii="TimesNewRoman" w:eastAsia="仿宋_GB2312" w:hAnsi="TimesNewRoman" w:cs="TimesNewRoman" w:hint="eastAsia"/>
          <w:kern w:val="0"/>
          <w:sz w:val="32"/>
          <w:szCs w:val="32"/>
        </w:rPr>
        <w:t>随新进在职人员</w:t>
      </w:r>
      <w:r w:rsidR="00975F1A">
        <w:rPr>
          <w:rFonts w:ascii="TimesNewRoman" w:eastAsia="仿宋_GB2312" w:hAnsi="TimesNewRoman" w:cs="TimesNewRoman" w:hint="eastAsia"/>
          <w:kern w:val="0"/>
          <w:sz w:val="32"/>
          <w:szCs w:val="32"/>
        </w:rPr>
        <w:t>1</w:t>
      </w:r>
      <w:r w:rsidR="00975F1A">
        <w:rPr>
          <w:rFonts w:ascii="TimesNewRoman" w:eastAsia="仿宋_GB2312" w:hAnsi="TimesNewRoman" w:cs="TimesNewRoman" w:hint="eastAsia"/>
          <w:kern w:val="0"/>
          <w:sz w:val="32"/>
          <w:szCs w:val="32"/>
        </w:rPr>
        <w:t>名增加的提租补贴、住房公积金、社保等</w:t>
      </w:r>
      <w:r w:rsidRPr="009A3CA3">
        <w:rPr>
          <w:rFonts w:ascii="TimesNewRoman" w:eastAsia="仿宋_GB2312" w:hAnsi="TimesNewRoman" w:cs="TimesNewRoman" w:hint="eastAsia"/>
          <w:kern w:val="0"/>
          <w:sz w:val="32"/>
          <w:szCs w:val="32"/>
        </w:rPr>
        <w:t>；政府性基金预算拨款收入</w:t>
      </w:r>
      <w:r w:rsidR="00975F1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975F1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年预算增加</w:t>
      </w:r>
      <w:r w:rsidR="00975F1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万元，增长</w:t>
      </w:r>
      <w:r w:rsidR="00975F1A">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962660">
        <w:rPr>
          <w:rFonts w:ascii="TimesNewRoman" w:eastAsia="仿宋_GB2312" w:hAnsi="TimesNewRoman" w:cs="TimesNewRoman" w:hint="eastAsia"/>
          <w:kern w:val="0"/>
          <w:sz w:val="32"/>
          <w:szCs w:val="32"/>
        </w:rPr>
        <w:t>原因主要是</w:t>
      </w:r>
      <w:r w:rsidR="00962660">
        <w:rPr>
          <w:rFonts w:ascii="TimesNewRoman" w:eastAsia="仿宋_GB2312" w:hAnsi="TimesNewRoman" w:cs="TimesNewRoman" w:hint="eastAsia"/>
          <w:kern w:val="0"/>
          <w:sz w:val="32"/>
          <w:szCs w:val="32"/>
        </w:rPr>
        <w:t>2024</w:t>
      </w:r>
      <w:r w:rsidR="00962660">
        <w:rPr>
          <w:rFonts w:ascii="TimesNewRoman" w:eastAsia="仿宋_GB2312" w:hAnsi="TimesNewRoman" w:cs="TimesNewRoman" w:hint="eastAsia"/>
          <w:kern w:val="0"/>
          <w:sz w:val="32"/>
          <w:szCs w:val="32"/>
        </w:rPr>
        <w:t>年和</w:t>
      </w:r>
      <w:r w:rsidR="00962660">
        <w:rPr>
          <w:rFonts w:ascii="TimesNewRoman" w:eastAsia="仿宋_GB2312" w:hAnsi="TimesNewRoman" w:cs="TimesNewRoman" w:hint="eastAsia"/>
          <w:kern w:val="0"/>
          <w:sz w:val="32"/>
          <w:szCs w:val="32"/>
        </w:rPr>
        <w:t>2025</w:t>
      </w:r>
      <w:r w:rsidR="00962660">
        <w:rPr>
          <w:rFonts w:ascii="TimesNewRoman" w:eastAsia="仿宋_GB2312" w:hAnsi="TimesNewRoman" w:cs="TimesNewRoman" w:hint="eastAsia"/>
          <w:kern w:val="0"/>
          <w:sz w:val="32"/>
          <w:szCs w:val="32"/>
        </w:rPr>
        <w:t>年无政府性基金预算收入；</w:t>
      </w:r>
      <w:r w:rsidRPr="009A3CA3">
        <w:rPr>
          <w:rFonts w:ascii="TimesNewRoman" w:eastAsia="仿宋_GB2312" w:hAnsi="TimesNewRoman" w:cs="TimesNewRoman" w:hint="eastAsia"/>
          <w:kern w:val="0"/>
          <w:sz w:val="32"/>
          <w:szCs w:val="32"/>
        </w:rPr>
        <w:t>财政专户管理资金收入</w:t>
      </w:r>
      <w:r w:rsidR="00962660">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962660">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年预算增加</w:t>
      </w:r>
      <w:r w:rsidR="00962660">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万元，增长</w:t>
      </w:r>
      <w:r w:rsidR="00962660">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962660">
        <w:rPr>
          <w:rFonts w:ascii="TimesNewRoman" w:eastAsia="仿宋_GB2312" w:hAnsi="TimesNewRoman" w:cs="TimesNewRoman" w:hint="eastAsia"/>
          <w:kern w:val="0"/>
          <w:sz w:val="32"/>
          <w:szCs w:val="32"/>
        </w:rPr>
        <w:t>原因主要是</w:t>
      </w:r>
      <w:r w:rsidR="00962660">
        <w:rPr>
          <w:rFonts w:ascii="TimesNewRoman" w:eastAsia="仿宋_GB2312" w:hAnsi="TimesNewRoman" w:cs="TimesNewRoman" w:hint="eastAsia"/>
          <w:kern w:val="0"/>
          <w:sz w:val="32"/>
          <w:szCs w:val="32"/>
        </w:rPr>
        <w:t>2024</w:t>
      </w:r>
      <w:r w:rsidR="00962660">
        <w:rPr>
          <w:rFonts w:ascii="TimesNewRoman" w:eastAsia="仿宋_GB2312" w:hAnsi="TimesNewRoman" w:cs="TimesNewRoman" w:hint="eastAsia"/>
          <w:kern w:val="0"/>
          <w:sz w:val="32"/>
          <w:szCs w:val="32"/>
        </w:rPr>
        <w:t>年和</w:t>
      </w:r>
      <w:r w:rsidR="00962660">
        <w:rPr>
          <w:rFonts w:ascii="TimesNewRoman" w:eastAsia="仿宋_GB2312" w:hAnsi="TimesNewRoman" w:cs="TimesNewRoman" w:hint="eastAsia"/>
          <w:kern w:val="0"/>
          <w:sz w:val="32"/>
          <w:szCs w:val="32"/>
        </w:rPr>
        <w:t>2025</w:t>
      </w:r>
      <w:r w:rsidR="00962660">
        <w:rPr>
          <w:rFonts w:ascii="TimesNewRoman" w:eastAsia="仿宋_GB2312" w:hAnsi="TimesNewRoman" w:cs="TimesNewRoman" w:hint="eastAsia"/>
          <w:kern w:val="0"/>
          <w:sz w:val="32"/>
          <w:szCs w:val="32"/>
        </w:rPr>
        <w:t>年无财政专户管理资金收入。</w:t>
      </w:r>
    </w:p>
    <w:p w:rsidR="00E907C4" w:rsidRPr="009A3CA3" w:rsidRDefault="00E907C4" w:rsidP="00962660">
      <w:pPr>
        <w:ind w:firstLineChars="200" w:firstLine="640"/>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三、关于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年支出总表的说明</w:t>
      </w:r>
    </w:p>
    <w:p w:rsidR="002B01F7" w:rsidRDefault="00E907C4" w:rsidP="002B01F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2B01F7">
        <w:rPr>
          <w:rFonts w:ascii="TimesNewRoman" w:eastAsia="仿宋_GB2312" w:hAnsi="TimesNewRoman" w:cs="TimesNewRoman" w:hint="eastAsia"/>
          <w:sz w:val="32"/>
          <w:szCs w:val="32"/>
        </w:rPr>
        <w:t>刘开渠纪念馆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年支出预算</w:t>
      </w:r>
      <w:r w:rsidR="002B01F7">
        <w:rPr>
          <w:rFonts w:ascii="TimesNewRoman" w:eastAsia="仿宋_GB2312" w:hAnsi="TimesNewRoman" w:cs="TimesNewRoman" w:hint="eastAsia"/>
          <w:sz w:val="32"/>
          <w:szCs w:val="32"/>
        </w:rPr>
        <w:t>248.39</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年预算增加</w:t>
      </w:r>
      <w:r w:rsidR="002B01F7">
        <w:rPr>
          <w:rFonts w:ascii="TimesNewRoman" w:eastAsia="仿宋_GB2312" w:hAnsi="TimesNewRoman" w:cs="TimesNewRoman" w:hint="eastAsia"/>
          <w:kern w:val="0"/>
          <w:sz w:val="32"/>
          <w:szCs w:val="32"/>
        </w:rPr>
        <w:t>5.75</w:t>
      </w:r>
      <w:r w:rsidRPr="009A3CA3">
        <w:rPr>
          <w:rFonts w:ascii="TimesNewRoman" w:eastAsia="仿宋_GB2312" w:hAnsi="TimesNewRoman" w:cs="TimesNewRoman" w:hint="eastAsia"/>
          <w:kern w:val="0"/>
          <w:sz w:val="32"/>
          <w:szCs w:val="32"/>
        </w:rPr>
        <w:t>万元，增长</w:t>
      </w:r>
      <w:r w:rsidR="002B01F7">
        <w:rPr>
          <w:rFonts w:ascii="TimesNewRoman" w:eastAsia="仿宋_GB2312" w:hAnsi="TimesNewRoman" w:cs="TimesNewRoman" w:hint="eastAsia"/>
          <w:kern w:val="0"/>
          <w:sz w:val="32"/>
          <w:szCs w:val="32"/>
        </w:rPr>
        <w:t>2.37</w:t>
      </w:r>
      <w:r w:rsidR="002B01F7"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2B01F7" w:rsidRPr="009A3CA3">
        <w:rPr>
          <w:rFonts w:ascii="TimesNewRoman" w:eastAsia="仿宋_GB2312" w:hAnsi="TimesNewRoman" w:cs="TimesNewRoman" w:hint="eastAsia"/>
          <w:kern w:val="0"/>
          <w:sz w:val="32"/>
          <w:szCs w:val="32"/>
        </w:rPr>
        <w:t>原因主要是</w:t>
      </w:r>
      <w:r w:rsidR="002B01F7">
        <w:rPr>
          <w:rFonts w:ascii="TimesNewRoman" w:eastAsia="仿宋_GB2312" w:hAnsi="TimesNewRoman" w:cs="TimesNewRoman" w:hint="eastAsia"/>
          <w:kern w:val="0"/>
          <w:sz w:val="32"/>
          <w:szCs w:val="32"/>
        </w:rPr>
        <w:t>随新进在职人员</w:t>
      </w:r>
      <w:r w:rsidR="002B01F7">
        <w:rPr>
          <w:rFonts w:ascii="TimesNewRoman" w:eastAsia="仿宋_GB2312" w:hAnsi="TimesNewRoman" w:cs="TimesNewRoman" w:hint="eastAsia"/>
          <w:kern w:val="0"/>
          <w:sz w:val="32"/>
          <w:szCs w:val="32"/>
        </w:rPr>
        <w:t>1</w:t>
      </w:r>
      <w:r w:rsidR="002B01F7">
        <w:rPr>
          <w:rFonts w:ascii="TimesNewRoman" w:eastAsia="仿宋_GB2312" w:hAnsi="TimesNewRoman" w:cs="TimesNewRoman" w:hint="eastAsia"/>
          <w:kern w:val="0"/>
          <w:sz w:val="32"/>
          <w:szCs w:val="32"/>
        </w:rPr>
        <w:t>名增加的提租补贴、住房公积金、社保等</w:t>
      </w:r>
      <w:r w:rsidRPr="009A3CA3">
        <w:rPr>
          <w:rFonts w:ascii="TimesNewRoman" w:eastAsia="仿宋_GB2312" w:hAnsi="TimesNewRoman" w:cs="TimesNewRoman" w:hint="eastAsia"/>
          <w:kern w:val="0"/>
          <w:sz w:val="32"/>
          <w:szCs w:val="32"/>
        </w:rPr>
        <w:t>。其中，基本支出</w:t>
      </w:r>
      <w:r w:rsidR="002B01F7">
        <w:rPr>
          <w:rFonts w:ascii="TimesNewRoman" w:eastAsia="仿宋_GB2312" w:hAnsi="TimesNewRoman" w:cs="TimesNewRoman" w:hint="eastAsia"/>
          <w:kern w:val="0"/>
          <w:sz w:val="32"/>
          <w:szCs w:val="32"/>
        </w:rPr>
        <w:t>206.39</w:t>
      </w:r>
      <w:r w:rsidRPr="009A3CA3">
        <w:rPr>
          <w:rFonts w:ascii="TimesNewRoman" w:eastAsia="仿宋_GB2312" w:hAnsi="TimesNewRoman" w:cs="TimesNewRoman" w:hint="eastAsia"/>
          <w:kern w:val="0"/>
          <w:sz w:val="32"/>
          <w:szCs w:val="32"/>
        </w:rPr>
        <w:t>万元，占</w:t>
      </w:r>
      <w:r w:rsidR="002B01F7">
        <w:rPr>
          <w:rFonts w:ascii="TimesNewRoman" w:eastAsia="仿宋_GB2312" w:hAnsi="TimesNewRoman" w:cs="TimesNewRoman" w:hint="eastAsia"/>
          <w:kern w:val="0"/>
          <w:sz w:val="32"/>
          <w:szCs w:val="32"/>
        </w:rPr>
        <w:t>83.09</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，主要用于保障机构日常运转、完成日常工作任务；项目支出</w:t>
      </w:r>
      <w:r w:rsidR="002B01F7">
        <w:rPr>
          <w:rFonts w:ascii="TimesNewRoman" w:eastAsia="仿宋_GB2312" w:hAnsi="TimesNewRoman" w:cs="TimesNewRoman" w:hint="eastAsia"/>
          <w:kern w:val="0"/>
          <w:sz w:val="32"/>
          <w:szCs w:val="32"/>
        </w:rPr>
        <w:t>42</w:t>
      </w:r>
      <w:r w:rsidRPr="009A3CA3">
        <w:rPr>
          <w:rFonts w:ascii="TimesNewRoman" w:eastAsia="仿宋_GB2312" w:hAnsi="TimesNewRoman" w:cs="TimesNewRoman" w:hint="eastAsia"/>
          <w:kern w:val="0"/>
          <w:sz w:val="32"/>
          <w:szCs w:val="32"/>
        </w:rPr>
        <w:t>万元，占</w:t>
      </w:r>
      <w:r w:rsidR="002B01F7">
        <w:rPr>
          <w:rFonts w:ascii="TimesNewRoman" w:eastAsia="仿宋_GB2312" w:hAnsi="TimesNewRoman" w:cs="TimesNewRoman" w:hint="eastAsia"/>
          <w:kern w:val="0"/>
          <w:sz w:val="32"/>
          <w:szCs w:val="32"/>
        </w:rPr>
        <w:t>16.91</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002B01F7">
        <w:rPr>
          <w:rFonts w:ascii="TimesNewRoman" w:eastAsia="仿宋_GB2312" w:hAnsi="TimesNewRoman" w:cs="TimesNewRoman" w:hint="eastAsia"/>
          <w:kern w:val="0"/>
          <w:sz w:val="32"/>
          <w:szCs w:val="32"/>
        </w:rPr>
        <w:t>主要用于保障机构日常运行、传播社会教育活动、举行公益性展览等。</w:t>
      </w:r>
    </w:p>
    <w:p w:rsidR="00E907C4" w:rsidRPr="009A3CA3" w:rsidRDefault="00E907C4" w:rsidP="002B01F7">
      <w:pPr>
        <w:pStyle w:val="a3"/>
        <w:adjustRightInd w:val="0"/>
        <w:snapToGrid w:val="0"/>
        <w:spacing w:line="560" w:lineRule="exact"/>
        <w:ind w:firstLineChars="200" w:firstLine="640"/>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四、关于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年财政拨款收支总表的说明</w:t>
      </w:r>
    </w:p>
    <w:p w:rsidR="002B01F7" w:rsidRDefault="00E907C4" w:rsidP="002B01F7">
      <w:pPr>
        <w:pStyle w:val="a3"/>
        <w:adjustRightInd w:val="0"/>
        <w:snapToGrid w:val="0"/>
        <w:spacing w:before="0" w:beforeAutospacing="0" w:after="0" w:afterAutospacing="0" w:line="600" w:lineRule="exact"/>
        <w:ind w:firstLineChars="200" w:firstLine="640"/>
        <w:rPr>
          <w:rFonts w:ascii="TimesNewRoman" w:eastAsia="仿宋_GB2312" w:hAnsi="TimesNewRoman" w:cs="TimesNewRoman"/>
          <w:sz w:val="32"/>
          <w:szCs w:val="32"/>
        </w:rPr>
      </w:pPr>
      <w:r w:rsidRPr="009A3CA3">
        <w:rPr>
          <w:rFonts w:ascii="TimesNewRoman" w:eastAsia="仿宋_GB2312" w:hAnsi="TimesNewRoman" w:cs="TimesNewRoman" w:hint="eastAsia"/>
          <w:sz w:val="32"/>
          <w:szCs w:val="32"/>
        </w:rPr>
        <w:lastRenderedPageBreak/>
        <w:t>淮北市</w:t>
      </w:r>
      <w:r w:rsidR="002B01F7">
        <w:rPr>
          <w:rFonts w:ascii="TimesNewRoman" w:eastAsia="仿宋_GB2312" w:hAnsi="TimesNewRoman" w:cs="TimesNewRoman" w:hint="eastAsia"/>
          <w:sz w:val="32"/>
          <w:szCs w:val="32"/>
        </w:rPr>
        <w:t>刘开渠纪念馆</w:t>
      </w:r>
      <w:r w:rsidR="00F45ECB">
        <w:rPr>
          <w:rFonts w:ascii="TimesNewRoman" w:eastAsia="仿宋_GB2312" w:hAnsi="TimesNewRoman" w:cs="TimesNewRoman" w:hint="eastAsia"/>
          <w:sz w:val="32"/>
          <w:szCs w:val="32"/>
        </w:rPr>
        <w:t>2025</w:t>
      </w:r>
      <w:r w:rsidRPr="009A3CA3">
        <w:rPr>
          <w:rFonts w:ascii="TimesNewRoman" w:eastAsia="仿宋_GB2312" w:hAnsi="TimesNewRoman" w:cs="TimesNewRoman" w:hint="eastAsia"/>
          <w:sz w:val="32"/>
          <w:szCs w:val="32"/>
        </w:rPr>
        <w:t>年财政拨款收支预算</w:t>
      </w:r>
      <w:r w:rsidR="002B01F7">
        <w:rPr>
          <w:rFonts w:ascii="TimesNewRoman" w:eastAsia="仿宋_GB2312" w:hAnsi="TimesNewRoman" w:cs="TimesNewRoman" w:hint="eastAsia"/>
          <w:sz w:val="32"/>
          <w:szCs w:val="32"/>
        </w:rPr>
        <w:t>248.39</w:t>
      </w:r>
      <w:r w:rsidRPr="009A3CA3">
        <w:rPr>
          <w:rFonts w:ascii="TimesNewRoman" w:eastAsia="仿宋_GB2312" w:hAnsi="TimesNewRoman" w:cs="TimesNewRoman" w:hint="eastAsia"/>
          <w:sz w:val="32"/>
          <w:szCs w:val="32"/>
        </w:rPr>
        <w:t>万元。收入按资金来源分为：一般公共预算拨款</w:t>
      </w:r>
      <w:r w:rsidR="002B01F7">
        <w:rPr>
          <w:rFonts w:ascii="TimesNewRoman" w:eastAsia="仿宋_GB2312" w:hAnsi="TimesNewRoman" w:cs="TimesNewRoman" w:hint="eastAsia"/>
          <w:sz w:val="32"/>
          <w:szCs w:val="32"/>
        </w:rPr>
        <w:t>248.39</w:t>
      </w:r>
      <w:r w:rsidRPr="009A3CA3">
        <w:rPr>
          <w:rFonts w:ascii="TimesNewRoman" w:eastAsia="仿宋_GB2312" w:hAnsi="TimesNewRoman" w:cs="TimesNewRoman" w:hint="eastAsia"/>
          <w:sz w:val="32"/>
          <w:szCs w:val="32"/>
        </w:rPr>
        <w:t>万元、政府性基金预算拨款</w:t>
      </w:r>
      <w:r w:rsidR="002B01F7">
        <w:rPr>
          <w:rFonts w:ascii="TimesNewRoman" w:eastAsia="仿宋_GB2312" w:hAnsi="TimesNewRoman" w:cs="TimesNewRoman" w:hint="eastAsia"/>
          <w:sz w:val="32"/>
          <w:szCs w:val="32"/>
        </w:rPr>
        <w:t>0</w:t>
      </w:r>
      <w:r w:rsidRPr="009A3CA3">
        <w:rPr>
          <w:rFonts w:ascii="TimesNewRoman" w:eastAsia="仿宋_GB2312" w:hAnsi="TimesNewRoman" w:cs="TimesNewRoman" w:hint="eastAsia"/>
          <w:sz w:val="32"/>
          <w:szCs w:val="32"/>
        </w:rPr>
        <w:t>万元；按资金年度分为：本年财政拨款收入</w:t>
      </w:r>
      <w:r w:rsidR="002B01F7">
        <w:rPr>
          <w:rFonts w:ascii="TimesNewRoman" w:eastAsia="仿宋_GB2312" w:hAnsi="TimesNewRoman" w:cs="TimesNewRoman" w:hint="eastAsia"/>
          <w:sz w:val="32"/>
          <w:szCs w:val="32"/>
        </w:rPr>
        <w:t>248.39</w:t>
      </w:r>
      <w:r w:rsidRPr="009A3CA3">
        <w:rPr>
          <w:rFonts w:ascii="TimesNewRoman" w:eastAsia="仿宋_GB2312" w:hAnsi="TimesNewRoman" w:cs="TimesNewRoman" w:hint="eastAsia"/>
          <w:sz w:val="32"/>
          <w:szCs w:val="32"/>
        </w:rPr>
        <w:t>万元。支出按功能分类分为：</w:t>
      </w:r>
      <w:r w:rsidR="002B01F7">
        <w:rPr>
          <w:rFonts w:ascii="TimesNewRoman" w:eastAsia="仿宋_GB2312" w:hAnsi="TimesNewRoman" w:cs="TimesNewRoman" w:hint="eastAsia"/>
          <w:sz w:val="32"/>
          <w:szCs w:val="32"/>
        </w:rPr>
        <w:t>文化旅游体育与传媒支出</w:t>
      </w:r>
      <w:r w:rsidR="002B01F7">
        <w:rPr>
          <w:rFonts w:ascii="TimesNewRoman" w:eastAsia="仿宋_GB2312" w:hAnsi="TimesNewRoman" w:cs="TimesNewRoman" w:hint="eastAsia"/>
          <w:sz w:val="32"/>
          <w:szCs w:val="32"/>
        </w:rPr>
        <w:t>17</w:t>
      </w:r>
      <w:r w:rsidR="00521E10">
        <w:rPr>
          <w:rFonts w:ascii="TimesNewRoman" w:eastAsia="仿宋_GB2312" w:hAnsi="TimesNewRoman" w:cs="TimesNewRoman" w:hint="eastAsia"/>
          <w:sz w:val="32"/>
          <w:szCs w:val="32"/>
        </w:rPr>
        <w:t>7</w:t>
      </w:r>
      <w:r w:rsidR="002B01F7">
        <w:rPr>
          <w:rFonts w:ascii="TimesNewRoman" w:eastAsia="仿宋_GB2312" w:hAnsi="TimesNewRoman" w:cs="TimesNewRoman" w:hint="eastAsia"/>
          <w:sz w:val="32"/>
          <w:szCs w:val="32"/>
        </w:rPr>
        <w:t>.96</w:t>
      </w:r>
      <w:r w:rsidR="002B01F7">
        <w:rPr>
          <w:rFonts w:ascii="TimesNewRoman" w:eastAsia="仿宋_GB2312" w:hAnsi="TimesNewRoman" w:cs="TimesNewRoman" w:hint="eastAsia"/>
          <w:sz w:val="32"/>
          <w:szCs w:val="32"/>
        </w:rPr>
        <w:t>万元，占</w:t>
      </w:r>
      <w:r w:rsidR="002B01F7">
        <w:rPr>
          <w:rFonts w:ascii="TimesNewRoman" w:eastAsia="仿宋_GB2312" w:hAnsi="TimesNewRoman" w:cs="TimesNewRoman" w:hint="eastAsia"/>
          <w:sz w:val="32"/>
          <w:szCs w:val="32"/>
        </w:rPr>
        <w:t>71.</w:t>
      </w:r>
      <w:r w:rsidR="00521E10">
        <w:rPr>
          <w:rFonts w:ascii="TimesNewRoman" w:eastAsia="仿宋_GB2312" w:hAnsi="TimesNewRoman" w:cs="TimesNewRoman" w:hint="eastAsia"/>
          <w:sz w:val="32"/>
          <w:szCs w:val="32"/>
        </w:rPr>
        <w:t>64</w:t>
      </w:r>
      <w:r w:rsidR="002B01F7">
        <w:rPr>
          <w:rFonts w:ascii="TimesNewRoman" w:eastAsia="仿宋_GB2312" w:hAnsi="TimesNewRoman" w:cs="TimesNewRoman" w:hint="eastAsia"/>
          <w:sz w:val="32"/>
          <w:szCs w:val="32"/>
        </w:rPr>
        <w:t>%</w:t>
      </w:r>
      <w:r w:rsidR="002B01F7">
        <w:rPr>
          <w:rFonts w:ascii="TimesNewRoman" w:eastAsia="仿宋_GB2312" w:hAnsi="TimesNewRoman" w:cs="TimesNewRoman" w:hint="eastAsia"/>
          <w:sz w:val="32"/>
          <w:szCs w:val="32"/>
        </w:rPr>
        <w:t>；社会保障和就业支出</w:t>
      </w:r>
      <w:r w:rsidR="002B01F7">
        <w:rPr>
          <w:rFonts w:ascii="TimesNewRoman" w:eastAsia="仿宋_GB2312" w:hAnsi="TimesNewRoman" w:cs="TimesNewRoman" w:hint="eastAsia"/>
          <w:sz w:val="32"/>
          <w:szCs w:val="32"/>
        </w:rPr>
        <w:t>32.39</w:t>
      </w:r>
      <w:r w:rsidR="002B01F7">
        <w:rPr>
          <w:rFonts w:ascii="TimesNewRoman" w:eastAsia="仿宋_GB2312" w:hAnsi="TimesNewRoman" w:cs="TimesNewRoman" w:hint="eastAsia"/>
          <w:sz w:val="32"/>
          <w:szCs w:val="32"/>
        </w:rPr>
        <w:t>万元，占</w:t>
      </w:r>
      <w:r w:rsidR="002B01F7">
        <w:rPr>
          <w:rFonts w:ascii="TimesNewRoman" w:eastAsia="仿宋_GB2312" w:hAnsi="TimesNewRoman" w:cs="TimesNewRoman" w:hint="eastAsia"/>
          <w:sz w:val="32"/>
          <w:szCs w:val="32"/>
        </w:rPr>
        <w:t>13.04%</w:t>
      </w:r>
      <w:r w:rsidR="002B01F7">
        <w:rPr>
          <w:rFonts w:ascii="TimesNewRoman" w:eastAsia="仿宋_GB2312" w:hAnsi="TimesNewRoman" w:cs="TimesNewRoman" w:hint="eastAsia"/>
          <w:sz w:val="32"/>
          <w:szCs w:val="32"/>
        </w:rPr>
        <w:t>；卫生健康支出</w:t>
      </w:r>
      <w:r w:rsidR="002B01F7">
        <w:rPr>
          <w:rFonts w:ascii="TimesNewRoman" w:eastAsia="仿宋_GB2312" w:hAnsi="TimesNewRoman" w:cs="TimesNewRoman" w:hint="eastAsia"/>
          <w:sz w:val="32"/>
          <w:szCs w:val="32"/>
        </w:rPr>
        <w:t>8.85</w:t>
      </w:r>
      <w:r w:rsidR="002B01F7">
        <w:rPr>
          <w:rFonts w:ascii="TimesNewRoman" w:eastAsia="仿宋_GB2312" w:hAnsi="TimesNewRoman" w:cs="TimesNewRoman" w:hint="eastAsia"/>
          <w:sz w:val="32"/>
          <w:szCs w:val="32"/>
        </w:rPr>
        <w:t>万元，占</w:t>
      </w:r>
      <w:r w:rsidR="002B01F7">
        <w:rPr>
          <w:rFonts w:ascii="TimesNewRoman" w:eastAsia="仿宋_GB2312" w:hAnsi="TimesNewRoman" w:cs="TimesNewRoman" w:hint="eastAsia"/>
          <w:sz w:val="32"/>
          <w:szCs w:val="32"/>
        </w:rPr>
        <w:t>3.</w:t>
      </w:r>
      <w:r w:rsidR="00521E10">
        <w:rPr>
          <w:rFonts w:ascii="TimesNewRoman" w:eastAsia="仿宋_GB2312" w:hAnsi="TimesNewRoman" w:cs="TimesNewRoman" w:hint="eastAsia"/>
          <w:sz w:val="32"/>
          <w:szCs w:val="32"/>
        </w:rPr>
        <w:t>56</w:t>
      </w:r>
      <w:r w:rsidR="002B01F7">
        <w:rPr>
          <w:rFonts w:ascii="TimesNewRoman" w:eastAsia="仿宋_GB2312" w:hAnsi="TimesNewRoman" w:cs="TimesNewRoman" w:hint="eastAsia"/>
          <w:sz w:val="32"/>
          <w:szCs w:val="32"/>
        </w:rPr>
        <w:t>%</w:t>
      </w:r>
      <w:r w:rsidR="002B01F7">
        <w:rPr>
          <w:rFonts w:ascii="TimesNewRoman" w:eastAsia="仿宋_GB2312" w:hAnsi="TimesNewRoman" w:cs="TimesNewRoman" w:hint="eastAsia"/>
          <w:sz w:val="32"/>
          <w:szCs w:val="32"/>
        </w:rPr>
        <w:t>；住房保障支出</w:t>
      </w:r>
      <w:r w:rsidR="002B01F7">
        <w:rPr>
          <w:rFonts w:ascii="TimesNewRoman" w:eastAsia="仿宋_GB2312" w:hAnsi="TimesNewRoman" w:cs="TimesNewRoman" w:hint="eastAsia"/>
          <w:sz w:val="32"/>
          <w:szCs w:val="32"/>
        </w:rPr>
        <w:t>29.2</w:t>
      </w:r>
      <w:r w:rsidR="002B01F7">
        <w:rPr>
          <w:rFonts w:ascii="TimesNewRoman" w:eastAsia="仿宋_GB2312" w:hAnsi="TimesNewRoman" w:cs="TimesNewRoman" w:hint="eastAsia"/>
          <w:sz w:val="32"/>
          <w:szCs w:val="32"/>
        </w:rPr>
        <w:t>万元，占</w:t>
      </w:r>
      <w:r w:rsidR="002B01F7">
        <w:rPr>
          <w:rFonts w:ascii="TimesNewRoman" w:eastAsia="仿宋_GB2312" w:hAnsi="TimesNewRoman" w:cs="TimesNewRoman" w:hint="eastAsia"/>
          <w:sz w:val="32"/>
          <w:szCs w:val="32"/>
        </w:rPr>
        <w:t>11.</w:t>
      </w:r>
      <w:r w:rsidR="00521E10">
        <w:rPr>
          <w:rFonts w:ascii="TimesNewRoman" w:eastAsia="仿宋_GB2312" w:hAnsi="TimesNewRoman" w:cs="TimesNewRoman" w:hint="eastAsia"/>
          <w:sz w:val="32"/>
          <w:szCs w:val="32"/>
        </w:rPr>
        <w:t>76</w:t>
      </w:r>
      <w:r w:rsidR="002B01F7">
        <w:rPr>
          <w:rFonts w:ascii="TimesNewRoman" w:eastAsia="仿宋_GB2312" w:hAnsi="TimesNewRoman" w:cs="TimesNewRoman" w:hint="eastAsia"/>
          <w:sz w:val="32"/>
          <w:szCs w:val="32"/>
        </w:rPr>
        <w:t>%</w:t>
      </w:r>
      <w:r w:rsidR="002B01F7">
        <w:rPr>
          <w:rFonts w:ascii="TimesNewRoman" w:eastAsia="仿宋_GB2312" w:hAnsi="TimesNewRoman" w:cs="TimesNewRoman" w:hint="eastAsia"/>
          <w:sz w:val="32"/>
          <w:szCs w:val="32"/>
        </w:rPr>
        <w:t>。</w:t>
      </w:r>
    </w:p>
    <w:p w:rsidR="00E907C4" w:rsidRPr="009A3CA3" w:rsidRDefault="00E907C4" w:rsidP="002B01F7">
      <w:pPr>
        <w:ind w:firstLineChars="200" w:firstLine="640"/>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五、关于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年一般公共预算支出表的说明</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（一）一般公共预算支出规模变化情况。</w:t>
      </w:r>
    </w:p>
    <w:p w:rsidR="002F4171" w:rsidRDefault="00E907C4" w:rsidP="002F4171">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2F4171">
        <w:rPr>
          <w:rFonts w:ascii="TimesNewRoman" w:eastAsia="仿宋_GB2312" w:hAnsi="TimesNewRoman" w:cs="TimesNewRoman" w:hint="eastAsia"/>
          <w:sz w:val="32"/>
          <w:szCs w:val="32"/>
        </w:rPr>
        <w:t>刘开渠纪念馆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年一般公共预算支出</w:t>
      </w:r>
      <w:r w:rsidR="002F4171">
        <w:rPr>
          <w:rFonts w:ascii="TimesNewRoman" w:eastAsia="仿宋_GB2312" w:hAnsi="TimesNewRoman" w:cs="TimesNewRoman" w:hint="eastAsia"/>
          <w:sz w:val="32"/>
          <w:szCs w:val="32"/>
        </w:rPr>
        <w:t>248.39</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年预算增加</w:t>
      </w:r>
      <w:r w:rsidR="002F4171">
        <w:rPr>
          <w:rFonts w:ascii="TimesNewRoman" w:eastAsia="仿宋_GB2312" w:hAnsi="TimesNewRoman" w:cs="TimesNewRoman" w:hint="eastAsia"/>
          <w:kern w:val="0"/>
          <w:sz w:val="32"/>
          <w:szCs w:val="32"/>
        </w:rPr>
        <w:t>5.75</w:t>
      </w:r>
      <w:r w:rsidRPr="009A3CA3">
        <w:rPr>
          <w:rFonts w:ascii="TimesNewRoman" w:eastAsia="仿宋_GB2312" w:hAnsi="TimesNewRoman" w:cs="TimesNewRoman" w:hint="eastAsia"/>
          <w:kern w:val="0"/>
          <w:sz w:val="32"/>
          <w:szCs w:val="32"/>
        </w:rPr>
        <w:t>万元，增长</w:t>
      </w:r>
      <w:r w:rsidR="002F4171">
        <w:rPr>
          <w:rFonts w:ascii="TimesNewRoman" w:eastAsia="仿宋_GB2312" w:hAnsi="TimesNewRoman" w:cs="TimesNewRoman" w:hint="eastAsia"/>
          <w:kern w:val="0"/>
          <w:sz w:val="32"/>
          <w:szCs w:val="32"/>
        </w:rPr>
        <w:t>2.37</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，主要原因</w:t>
      </w:r>
      <w:r w:rsidR="00B052F7">
        <w:rPr>
          <w:rFonts w:ascii="TimesNewRoman" w:eastAsia="仿宋_GB2312" w:hAnsi="TimesNewRoman" w:cs="TimesNewRoman" w:hint="eastAsia"/>
          <w:kern w:val="0"/>
          <w:sz w:val="32"/>
          <w:szCs w:val="32"/>
        </w:rPr>
        <w:t>随</w:t>
      </w:r>
      <w:r w:rsidR="002F4171">
        <w:rPr>
          <w:rFonts w:ascii="TimesNewRoman" w:eastAsia="仿宋_GB2312" w:hAnsi="TimesNewRoman" w:cs="TimesNewRoman" w:hint="eastAsia"/>
          <w:kern w:val="0"/>
          <w:sz w:val="32"/>
          <w:szCs w:val="32"/>
        </w:rPr>
        <w:t>新进人员</w:t>
      </w:r>
      <w:r w:rsidR="00B052F7">
        <w:rPr>
          <w:rFonts w:ascii="TimesNewRoman" w:eastAsia="仿宋_GB2312" w:hAnsi="TimesNewRoman" w:cs="TimesNewRoman" w:hint="eastAsia"/>
          <w:kern w:val="0"/>
          <w:sz w:val="32"/>
          <w:szCs w:val="32"/>
        </w:rPr>
        <w:t>增加的提租补贴、住房公积金、社保等</w:t>
      </w:r>
      <w:r w:rsidR="002F4171">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（二）一般公共预算支出结构情况。</w:t>
      </w:r>
    </w:p>
    <w:p w:rsidR="00B052F7" w:rsidRDefault="00B052F7" w:rsidP="00B052F7">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文化旅游体育与传媒支出</w:t>
      </w:r>
      <w:r>
        <w:rPr>
          <w:rFonts w:ascii="TimesNewRoman" w:eastAsia="仿宋_GB2312" w:hAnsi="TimesNewRoman" w:cs="TimesNewRoman" w:hint="eastAsia"/>
          <w:sz w:val="32"/>
          <w:szCs w:val="32"/>
        </w:rPr>
        <w:t>177.96</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71.64%</w:t>
      </w:r>
      <w:r>
        <w:rPr>
          <w:rFonts w:ascii="TimesNewRoman" w:eastAsia="仿宋_GB2312" w:hAnsi="TimesNewRoman" w:cs="TimesNewRoman" w:hint="eastAsia"/>
          <w:sz w:val="32"/>
          <w:szCs w:val="32"/>
        </w:rPr>
        <w:t>；社会保障和就业支出</w:t>
      </w:r>
      <w:r>
        <w:rPr>
          <w:rFonts w:ascii="TimesNewRoman" w:eastAsia="仿宋_GB2312" w:hAnsi="TimesNewRoman" w:cs="TimesNewRoman" w:hint="eastAsia"/>
          <w:sz w:val="32"/>
          <w:szCs w:val="32"/>
        </w:rPr>
        <w:t>32.39</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13.04%</w:t>
      </w:r>
      <w:r>
        <w:rPr>
          <w:rFonts w:ascii="TimesNewRoman" w:eastAsia="仿宋_GB2312" w:hAnsi="TimesNewRoman" w:cs="TimesNewRoman" w:hint="eastAsia"/>
          <w:sz w:val="32"/>
          <w:szCs w:val="32"/>
        </w:rPr>
        <w:t>；卫生健康支出</w:t>
      </w:r>
      <w:r>
        <w:rPr>
          <w:rFonts w:ascii="TimesNewRoman" w:eastAsia="仿宋_GB2312" w:hAnsi="TimesNewRoman" w:cs="TimesNewRoman" w:hint="eastAsia"/>
          <w:sz w:val="32"/>
          <w:szCs w:val="32"/>
        </w:rPr>
        <w:t>8.85</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3.56%</w:t>
      </w:r>
      <w:r>
        <w:rPr>
          <w:rFonts w:ascii="TimesNewRoman" w:eastAsia="仿宋_GB2312" w:hAnsi="TimesNewRoman" w:cs="TimesNewRoman" w:hint="eastAsia"/>
          <w:sz w:val="32"/>
          <w:szCs w:val="32"/>
        </w:rPr>
        <w:t>；住房保障支出</w:t>
      </w:r>
      <w:r>
        <w:rPr>
          <w:rFonts w:ascii="TimesNewRoman" w:eastAsia="仿宋_GB2312" w:hAnsi="TimesNewRoman" w:cs="TimesNewRoman" w:hint="eastAsia"/>
          <w:sz w:val="32"/>
          <w:szCs w:val="32"/>
        </w:rPr>
        <w:t>29.2</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11.76%</w:t>
      </w:r>
      <w:r w:rsidR="005E5C76">
        <w:rPr>
          <w:rFonts w:ascii="TimesNewRoman" w:eastAsia="仿宋_GB2312" w:hAnsi="TimesNewRoman" w:cs="TimesNewRoman" w:hint="eastAsia"/>
          <w:sz w:val="32"/>
          <w:szCs w:val="32"/>
        </w:rPr>
        <w:t>。（因报表取数四舍五入存在为数误差）</w:t>
      </w:r>
    </w:p>
    <w:p w:rsidR="00E907C4" w:rsidRPr="009A3CA3" w:rsidRDefault="00E907C4" w:rsidP="00B052F7">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（三）一般公共预算支出具体使用情况。</w:t>
      </w:r>
    </w:p>
    <w:p w:rsidR="00B052F7" w:rsidRDefault="00B052F7" w:rsidP="00B052F7">
      <w:pPr>
        <w:widowControl/>
        <w:ind w:firstLineChars="200" w:firstLine="643"/>
        <w:jc w:val="left"/>
        <w:rPr>
          <w:rFonts w:ascii="TimesNewRoman" w:eastAsia="仿宋_GB2312" w:hAnsi="TimesNewRoman" w:cs="TimesNewRoman"/>
          <w:kern w:val="0"/>
          <w:sz w:val="32"/>
          <w:szCs w:val="32"/>
        </w:rPr>
      </w:pPr>
      <w:r>
        <w:rPr>
          <w:rFonts w:ascii="仿宋_GB2312" w:eastAsia="仿宋_GB2312" w:hAnsi="仿宋" w:cs="仿宋_GB2312"/>
          <w:b/>
          <w:bCs/>
          <w:sz w:val="32"/>
          <w:szCs w:val="32"/>
        </w:rPr>
        <w:t>1.</w:t>
      </w:r>
      <w:r>
        <w:rPr>
          <w:rFonts w:ascii="仿宋_GB2312" w:eastAsia="仿宋_GB2312" w:hAnsi="仿宋_GB2312" w:cs="仿宋_GB2312" w:hint="eastAsia"/>
          <w:b/>
          <w:bCs/>
          <w:color w:val="000000"/>
          <w:kern w:val="0"/>
          <w:sz w:val="31"/>
          <w:szCs w:val="31"/>
        </w:rPr>
        <w:t>文化旅游体育与传媒支出（类）文物（款）博物馆（项）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177.96</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1.3</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0.74%</w:t>
      </w:r>
      <w:r>
        <w:rPr>
          <w:rFonts w:ascii="TimesNewRoman" w:eastAsia="仿宋_GB2312" w:hAnsi="TimesNewRoman" w:cs="TimesNewRoman" w:hint="eastAsia"/>
          <w:kern w:val="0"/>
          <w:sz w:val="32"/>
          <w:szCs w:val="32"/>
        </w:rPr>
        <w:t>，增长原因主要是新进人员在职人员</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名。</w:t>
      </w:r>
    </w:p>
    <w:p w:rsidR="00B052F7" w:rsidRDefault="00B052F7" w:rsidP="00B052F7">
      <w:pPr>
        <w:adjustRightInd w:val="0"/>
        <w:snapToGrid w:val="0"/>
        <w:spacing w:line="600" w:lineRule="exact"/>
        <w:ind w:firstLineChars="200" w:firstLine="643"/>
        <w:rPr>
          <w:rFonts w:ascii="TimesNewRoman" w:eastAsia="仿宋_GB2312" w:hAnsi="TimesNewRoman" w:cs="TimesNewRoman"/>
          <w:kern w:val="0"/>
          <w:sz w:val="32"/>
          <w:szCs w:val="32"/>
        </w:rPr>
      </w:pPr>
      <w:r>
        <w:rPr>
          <w:rFonts w:ascii="仿宋_GB2312" w:eastAsia="仿宋_GB2312" w:hAnsi="仿宋" w:cs="仿宋_GB2312"/>
          <w:b/>
          <w:bCs/>
          <w:sz w:val="32"/>
          <w:szCs w:val="32"/>
        </w:rPr>
        <w:t>2.</w:t>
      </w:r>
      <w:r>
        <w:rPr>
          <w:rFonts w:ascii="仿宋_GB2312" w:eastAsia="仿宋_GB2312" w:hAnsi="仿宋" w:cs="仿宋_GB2312" w:hint="eastAsia"/>
          <w:b/>
          <w:bCs/>
          <w:sz w:val="32"/>
          <w:szCs w:val="32"/>
        </w:rPr>
        <w:t>社会保障和就业支出（类）行政事业单位养老支出（款）事业</w:t>
      </w:r>
      <w:r>
        <w:rPr>
          <w:rFonts w:ascii="仿宋_GB2312" w:eastAsia="仿宋_GB2312" w:hAnsi="仿宋" w:cs="仿宋_GB2312" w:hint="eastAsia"/>
          <w:b/>
          <w:bCs/>
          <w:sz w:val="32"/>
          <w:szCs w:val="32"/>
        </w:rPr>
        <w:lastRenderedPageBreak/>
        <w:t>单位离退休（项）</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2.87</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0.01</w:t>
      </w:r>
      <w:r>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0.35%</w:t>
      </w:r>
      <w:r>
        <w:rPr>
          <w:rFonts w:ascii="TimesNewRoman" w:eastAsia="仿宋_GB2312" w:hAnsi="TimesNewRoman" w:cs="TimesNewRoman" w:hint="eastAsia"/>
          <w:kern w:val="0"/>
          <w:sz w:val="32"/>
          <w:szCs w:val="32"/>
        </w:rPr>
        <w:t>，增长原因主要是政策性调整。</w:t>
      </w:r>
    </w:p>
    <w:p w:rsidR="00B052F7" w:rsidRDefault="00B052F7" w:rsidP="00B052F7">
      <w:pPr>
        <w:adjustRightInd w:val="0"/>
        <w:snapToGrid w:val="0"/>
        <w:spacing w:line="600" w:lineRule="exact"/>
        <w:ind w:firstLineChars="200" w:firstLine="643"/>
        <w:rPr>
          <w:rFonts w:ascii="TimesNewRoman" w:eastAsia="仿宋_GB2312" w:hAnsi="TimesNewRoman" w:cs="TimesNewRoman"/>
          <w:kern w:val="0"/>
          <w:sz w:val="32"/>
          <w:szCs w:val="32"/>
        </w:rPr>
      </w:pPr>
      <w:r>
        <w:rPr>
          <w:rFonts w:ascii="仿宋_GB2312" w:eastAsia="仿宋_GB2312" w:hAnsi="仿宋" w:cs="仿宋_GB2312" w:hint="eastAsia"/>
          <w:b/>
          <w:bCs/>
          <w:sz w:val="32"/>
          <w:szCs w:val="32"/>
        </w:rPr>
        <w:t>3</w:t>
      </w:r>
      <w:r>
        <w:rPr>
          <w:rFonts w:ascii="仿宋_GB2312" w:eastAsia="仿宋_GB2312" w:hAnsi="仿宋" w:cs="仿宋_GB2312"/>
          <w:b/>
          <w:bCs/>
          <w:sz w:val="32"/>
          <w:szCs w:val="32"/>
        </w:rPr>
        <w:t>.</w:t>
      </w:r>
      <w:r>
        <w:rPr>
          <w:rFonts w:ascii="仿宋_GB2312" w:eastAsia="仿宋_GB2312" w:hAnsi="仿宋" w:cs="仿宋_GB2312" w:hint="eastAsia"/>
          <w:b/>
          <w:bCs/>
          <w:sz w:val="32"/>
          <w:szCs w:val="32"/>
        </w:rPr>
        <w:t>社会保障和就业支出（类）行政事业单位养老支出（款）机关事业单位基本养老保险缴费支出（项）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w:t>
      </w:r>
      <w:r w:rsidR="001A75CF">
        <w:rPr>
          <w:rFonts w:ascii="TimesNewRoman" w:eastAsia="仿宋_GB2312" w:hAnsi="TimesNewRoman" w:cs="TimesNewRoman" w:hint="eastAsia"/>
          <w:kern w:val="0"/>
          <w:sz w:val="32"/>
          <w:szCs w:val="32"/>
        </w:rPr>
        <w:t>9</w:t>
      </w:r>
      <w:r>
        <w:rPr>
          <w:rFonts w:ascii="TimesNewRoman" w:eastAsia="仿宋_GB2312" w:hAnsi="TimesNewRoman" w:cs="TimesNewRoman" w:hint="eastAsia"/>
          <w:kern w:val="0"/>
          <w:sz w:val="32"/>
          <w:szCs w:val="32"/>
        </w:rPr>
        <w:t>.</w:t>
      </w:r>
      <w:r w:rsidR="001A75CF">
        <w:rPr>
          <w:rFonts w:ascii="TimesNewRoman" w:eastAsia="仿宋_GB2312" w:hAnsi="TimesNewRoman" w:cs="TimesNewRoman" w:hint="eastAsia"/>
          <w:kern w:val="0"/>
          <w:sz w:val="32"/>
          <w:szCs w:val="32"/>
        </w:rPr>
        <w:t>28</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1.75</w:t>
      </w:r>
      <w:r>
        <w:rPr>
          <w:rFonts w:ascii="TimesNewRoman" w:eastAsia="仿宋_GB2312" w:hAnsi="TimesNewRoman" w:cs="TimesNewRoman" w:hint="eastAsia"/>
          <w:kern w:val="0"/>
          <w:sz w:val="32"/>
          <w:szCs w:val="32"/>
        </w:rPr>
        <w:t>万元，增加</w:t>
      </w:r>
      <w:r>
        <w:rPr>
          <w:rFonts w:ascii="TimesNewRoman" w:eastAsia="仿宋_GB2312" w:hAnsi="TimesNewRoman" w:cs="TimesNewRoman" w:hint="eastAsia"/>
          <w:kern w:val="0"/>
          <w:sz w:val="32"/>
          <w:szCs w:val="32"/>
        </w:rPr>
        <w:t>9.98%</w:t>
      </w:r>
      <w:r>
        <w:rPr>
          <w:rFonts w:ascii="TimesNewRoman" w:eastAsia="仿宋_GB2312" w:hAnsi="TimesNewRoman" w:cs="TimesNewRoman" w:hint="eastAsia"/>
          <w:kern w:val="0"/>
          <w:sz w:val="32"/>
          <w:szCs w:val="32"/>
        </w:rPr>
        <w:t>，增加原因主要是</w:t>
      </w:r>
      <w:r w:rsidR="00B06924">
        <w:rPr>
          <w:rFonts w:ascii="TimesNewRoman" w:eastAsia="仿宋_GB2312" w:hAnsi="TimesNewRoman" w:cs="TimesNewRoman" w:hint="eastAsia"/>
          <w:kern w:val="0"/>
          <w:sz w:val="32"/>
          <w:szCs w:val="32"/>
        </w:rPr>
        <w:t>随</w:t>
      </w:r>
      <w:r>
        <w:rPr>
          <w:rFonts w:ascii="TimesNewRoman" w:eastAsia="仿宋_GB2312" w:hAnsi="TimesNewRoman" w:cs="TimesNewRoman" w:hint="eastAsia"/>
          <w:kern w:val="0"/>
          <w:sz w:val="32"/>
          <w:szCs w:val="32"/>
        </w:rPr>
        <w:t>新进在职人员</w:t>
      </w:r>
      <w:r w:rsidR="00B06924">
        <w:rPr>
          <w:rFonts w:ascii="TimesNewRoman" w:eastAsia="仿宋_GB2312" w:hAnsi="TimesNewRoman" w:cs="TimesNewRoman" w:hint="eastAsia"/>
          <w:kern w:val="0"/>
          <w:sz w:val="32"/>
          <w:szCs w:val="32"/>
        </w:rPr>
        <w:t>增加的养老保险支出</w:t>
      </w:r>
      <w:r>
        <w:rPr>
          <w:rFonts w:ascii="TimesNewRoman" w:eastAsia="仿宋_GB2312" w:hAnsi="TimesNewRoman" w:cs="TimesNewRoman" w:hint="eastAsia"/>
          <w:kern w:val="0"/>
          <w:sz w:val="32"/>
          <w:szCs w:val="32"/>
        </w:rPr>
        <w:t>。</w:t>
      </w:r>
    </w:p>
    <w:p w:rsidR="00B06924" w:rsidRDefault="00B052F7" w:rsidP="00B06924">
      <w:pPr>
        <w:adjustRightInd w:val="0"/>
        <w:snapToGrid w:val="0"/>
        <w:spacing w:line="600" w:lineRule="exact"/>
        <w:ind w:firstLineChars="200" w:firstLine="643"/>
        <w:rPr>
          <w:rFonts w:ascii="TimesNewRoman" w:eastAsia="仿宋_GB2312" w:hAnsi="TimesNewRoman" w:cs="TimesNewRoman"/>
          <w:kern w:val="0"/>
          <w:sz w:val="32"/>
          <w:szCs w:val="32"/>
        </w:rPr>
      </w:pPr>
      <w:r>
        <w:rPr>
          <w:rFonts w:ascii="仿宋_GB2312" w:eastAsia="仿宋_GB2312" w:hAnsi="仿宋" w:cs="仿宋_GB2312" w:hint="eastAsia"/>
          <w:b/>
          <w:bCs/>
          <w:sz w:val="32"/>
          <w:szCs w:val="32"/>
        </w:rPr>
        <w:t>4</w:t>
      </w:r>
      <w:r>
        <w:rPr>
          <w:rFonts w:ascii="仿宋_GB2312" w:eastAsia="仿宋_GB2312" w:hAnsi="仿宋" w:cs="仿宋_GB2312"/>
          <w:b/>
          <w:bCs/>
          <w:sz w:val="32"/>
          <w:szCs w:val="32"/>
        </w:rPr>
        <w:t>.</w:t>
      </w:r>
      <w:r>
        <w:rPr>
          <w:rFonts w:ascii="仿宋_GB2312" w:eastAsia="仿宋_GB2312" w:hAnsi="仿宋" w:cs="仿宋_GB2312" w:hint="eastAsia"/>
          <w:b/>
          <w:bCs/>
          <w:sz w:val="32"/>
          <w:szCs w:val="32"/>
        </w:rPr>
        <w:t>社会保障和就业支出（类）行政事业单位养老支出（款）机关事业单位职业年金缴费支出（项）</w:t>
      </w:r>
      <w:r>
        <w:rPr>
          <w:rFonts w:ascii="TimesNewRoman" w:eastAsia="仿宋_GB2312" w:hAnsi="TimesNewRoman" w:cs="TimesNewRoman" w:hint="eastAsia"/>
          <w:kern w:val="0"/>
          <w:sz w:val="32"/>
          <w:szCs w:val="32"/>
        </w:rPr>
        <w:t>202</w:t>
      </w:r>
      <w:r w:rsidR="001A75CF">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年预算</w:t>
      </w:r>
      <w:r w:rsidR="00BA4D12">
        <w:rPr>
          <w:rFonts w:ascii="TimesNewRoman" w:eastAsia="仿宋_GB2312" w:hAnsi="TimesNewRoman" w:cs="TimesNewRoman" w:hint="eastAsia"/>
          <w:kern w:val="0"/>
          <w:sz w:val="32"/>
          <w:szCs w:val="32"/>
        </w:rPr>
        <w:t>9.64</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w:t>
      </w:r>
      <w:r w:rsidR="001A75CF">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年预算</w:t>
      </w:r>
      <w:r w:rsidR="001A75CF">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0.</w:t>
      </w:r>
      <w:r w:rsidR="00B06924">
        <w:rPr>
          <w:rFonts w:ascii="TimesNewRoman" w:eastAsia="仿宋_GB2312" w:hAnsi="TimesNewRoman" w:cs="TimesNewRoman" w:hint="eastAsia"/>
          <w:kern w:val="0"/>
          <w:sz w:val="32"/>
          <w:szCs w:val="32"/>
        </w:rPr>
        <w:t>87</w:t>
      </w:r>
      <w:r>
        <w:rPr>
          <w:rFonts w:ascii="TimesNewRoman" w:eastAsia="仿宋_GB2312" w:hAnsi="TimesNewRoman" w:cs="TimesNewRoman" w:hint="eastAsia"/>
          <w:kern w:val="0"/>
          <w:sz w:val="32"/>
          <w:szCs w:val="32"/>
        </w:rPr>
        <w:t>万元，</w:t>
      </w:r>
      <w:r w:rsidR="00B06924">
        <w:rPr>
          <w:rFonts w:ascii="TimesNewRoman" w:eastAsia="仿宋_GB2312" w:hAnsi="TimesNewRoman" w:cs="TimesNewRoman" w:hint="eastAsia"/>
          <w:kern w:val="0"/>
          <w:sz w:val="32"/>
          <w:szCs w:val="32"/>
        </w:rPr>
        <w:t>增加</w:t>
      </w:r>
      <w:r w:rsidR="00B06924">
        <w:rPr>
          <w:rFonts w:ascii="TimesNewRoman" w:eastAsia="仿宋_GB2312" w:hAnsi="TimesNewRoman" w:cs="TimesNewRoman" w:hint="eastAsia"/>
          <w:kern w:val="0"/>
          <w:sz w:val="32"/>
          <w:szCs w:val="32"/>
        </w:rPr>
        <w:t>9</w:t>
      </w:r>
      <w:r>
        <w:rPr>
          <w:rFonts w:ascii="TimesNewRoman" w:eastAsia="仿宋_GB2312" w:hAnsi="TimesNewRoman" w:cs="TimesNewRoman" w:hint="eastAsia"/>
          <w:kern w:val="0"/>
          <w:sz w:val="32"/>
          <w:szCs w:val="32"/>
        </w:rPr>
        <w:t>.</w:t>
      </w:r>
      <w:r w:rsidR="00A856F6">
        <w:rPr>
          <w:rFonts w:ascii="TimesNewRoman" w:eastAsia="仿宋_GB2312" w:hAnsi="TimesNewRoman" w:cs="TimesNewRoman" w:hint="eastAsia"/>
          <w:kern w:val="0"/>
          <w:sz w:val="32"/>
          <w:szCs w:val="32"/>
        </w:rPr>
        <w:t>8</w:t>
      </w:r>
      <w:r w:rsidR="00196D9F">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B06924">
        <w:rPr>
          <w:rFonts w:ascii="TimesNewRoman" w:eastAsia="仿宋_GB2312" w:hAnsi="TimesNewRoman" w:cs="TimesNewRoman" w:hint="eastAsia"/>
          <w:kern w:val="0"/>
          <w:sz w:val="32"/>
          <w:szCs w:val="32"/>
        </w:rPr>
        <w:t>增加原因主要是随新进在职人员增加的职业年金缴费支出。</w:t>
      </w:r>
    </w:p>
    <w:p w:rsidR="00B06924" w:rsidRDefault="00B052F7" w:rsidP="00B052F7">
      <w:pPr>
        <w:adjustRightInd w:val="0"/>
        <w:snapToGrid w:val="0"/>
        <w:spacing w:line="600" w:lineRule="exact"/>
        <w:ind w:firstLineChars="200" w:firstLine="643"/>
        <w:rPr>
          <w:rFonts w:ascii="TimesNewRoman" w:eastAsia="仿宋_GB2312" w:hAnsi="TimesNewRoman" w:cs="TimesNewRoman"/>
          <w:kern w:val="0"/>
          <w:sz w:val="32"/>
          <w:szCs w:val="32"/>
        </w:rPr>
      </w:pPr>
      <w:r>
        <w:rPr>
          <w:rFonts w:ascii="仿宋_GB2312" w:eastAsia="仿宋_GB2312" w:hAnsi="仿宋" w:cs="仿宋_GB2312" w:hint="eastAsia"/>
          <w:b/>
          <w:bCs/>
          <w:sz w:val="32"/>
          <w:szCs w:val="32"/>
        </w:rPr>
        <w:t>5</w:t>
      </w:r>
      <w:r>
        <w:rPr>
          <w:rFonts w:ascii="仿宋_GB2312" w:eastAsia="仿宋_GB2312" w:hAnsi="仿宋" w:cs="仿宋_GB2312"/>
          <w:b/>
          <w:bCs/>
          <w:sz w:val="32"/>
          <w:szCs w:val="32"/>
        </w:rPr>
        <w:t>.</w:t>
      </w:r>
      <w:r>
        <w:rPr>
          <w:rFonts w:ascii="仿宋_GB2312" w:eastAsia="仿宋_GB2312" w:hAnsi="仿宋" w:cs="仿宋_GB2312" w:hint="eastAsia"/>
          <w:b/>
          <w:bCs/>
          <w:sz w:val="32"/>
          <w:szCs w:val="32"/>
        </w:rPr>
        <w:t>社会保障和就业支出（类）其他社会保障和就业支出（款）其他社会保障和就业支出（项）</w:t>
      </w:r>
      <w:r>
        <w:rPr>
          <w:rFonts w:ascii="TimesNewRoman" w:eastAsia="仿宋_GB2312" w:hAnsi="TimesNewRoman" w:cs="TimesNewRoman" w:hint="eastAsia"/>
          <w:kern w:val="0"/>
          <w:sz w:val="32"/>
          <w:szCs w:val="32"/>
        </w:rPr>
        <w:t>202</w:t>
      </w:r>
      <w:r w:rsidR="00B06924">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0.</w:t>
      </w:r>
      <w:r w:rsidR="00B06924">
        <w:rPr>
          <w:rFonts w:ascii="TimesNewRoman" w:eastAsia="仿宋_GB2312" w:hAnsi="TimesNewRoman" w:cs="TimesNewRoman" w:hint="eastAsia"/>
          <w:kern w:val="0"/>
          <w:sz w:val="32"/>
          <w:szCs w:val="32"/>
        </w:rPr>
        <w:t>61</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w:t>
      </w:r>
      <w:r w:rsidR="00B06924">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年预算</w:t>
      </w:r>
      <w:r w:rsidR="00B06924">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0.0</w:t>
      </w:r>
      <w:r w:rsidR="00B06924">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万元，</w:t>
      </w:r>
      <w:r w:rsidR="00B06924">
        <w:rPr>
          <w:rFonts w:ascii="TimesNewRoman" w:eastAsia="仿宋_GB2312" w:hAnsi="TimesNewRoman" w:cs="TimesNewRoman" w:hint="eastAsia"/>
          <w:kern w:val="0"/>
          <w:sz w:val="32"/>
          <w:szCs w:val="32"/>
        </w:rPr>
        <w:t>增加</w:t>
      </w:r>
      <w:r w:rsidR="00B06924">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w:t>
      </w:r>
      <w:r w:rsidR="00B06924">
        <w:rPr>
          <w:rFonts w:ascii="TimesNewRoman" w:eastAsia="仿宋_GB2312" w:hAnsi="TimesNewRoman" w:cs="TimesNewRoman" w:hint="eastAsia"/>
          <w:kern w:val="0"/>
          <w:sz w:val="32"/>
          <w:szCs w:val="32"/>
        </w:rPr>
        <w:t>91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B06924">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原因主要是</w:t>
      </w:r>
      <w:r w:rsidR="00B06924">
        <w:rPr>
          <w:rFonts w:ascii="TimesNewRoman" w:eastAsia="仿宋_GB2312" w:hAnsi="TimesNewRoman" w:cs="TimesNewRoman" w:hint="eastAsia"/>
          <w:kern w:val="0"/>
          <w:sz w:val="32"/>
          <w:szCs w:val="32"/>
        </w:rPr>
        <w:t>随</w:t>
      </w:r>
      <w:r>
        <w:rPr>
          <w:rFonts w:ascii="TimesNewRoman" w:eastAsia="仿宋_GB2312" w:hAnsi="TimesNewRoman" w:cs="TimesNewRoman" w:hint="eastAsia"/>
          <w:kern w:val="0"/>
          <w:sz w:val="32"/>
          <w:szCs w:val="32"/>
        </w:rPr>
        <w:t>在职人员</w:t>
      </w:r>
      <w:r w:rsidR="00B06924">
        <w:rPr>
          <w:rFonts w:ascii="TimesNewRoman" w:eastAsia="仿宋_GB2312" w:hAnsi="TimesNewRoman" w:cs="TimesNewRoman" w:hint="eastAsia"/>
          <w:kern w:val="0"/>
          <w:sz w:val="32"/>
          <w:szCs w:val="32"/>
        </w:rPr>
        <w:t>增加的其他社会保障支出。</w:t>
      </w:r>
    </w:p>
    <w:p w:rsidR="00B052F7" w:rsidRDefault="00B052F7" w:rsidP="00B06924">
      <w:pPr>
        <w:adjustRightInd w:val="0"/>
        <w:snapToGrid w:val="0"/>
        <w:spacing w:line="600" w:lineRule="exact"/>
        <w:ind w:firstLineChars="200" w:firstLine="643"/>
        <w:rPr>
          <w:rFonts w:ascii="TimesNewRoman" w:eastAsia="仿宋_GB2312" w:hAnsi="TimesNewRoman" w:cs="TimesNewRoman"/>
          <w:kern w:val="0"/>
          <w:sz w:val="32"/>
          <w:szCs w:val="32"/>
        </w:rPr>
      </w:pPr>
      <w:r>
        <w:rPr>
          <w:rFonts w:ascii="仿宋_GB2312" w:eastAsia="仿宋_GB2312" w:hAnsi="仿宋" w:cs="仿宋_GB2312" w:hint="eastAsia"/>
          <w:b/>
          <w:bCs/>
          <w:sz w:val="32"/>
          <w:szCs w:val="32"/>
        </w:rPr>
        <w:t>6</w:t>
      </w:r>
      <w:r>
        <w:rPr>
          <w:rFonts w:ascii="仿宋_GB2312" w:eastAsia="仿宋_GB2312" w:hAnsi="仿宋" w:cs="仿宋_GB2312"/>
          <w:b/>
          <w:bCs/>
          <w:sz w:val="32"/>
          <w:szCs w:val="32"/>
        </w:rPr>
        <w:t>.</w:t>
      </w:r>
      <w:r>
        <w:rPr>
          <w:rFonts w:ascii="仿宋_GB2312" w:eastAsia="仿宋_GB2312" w:hAnsi="仿宋" w:cs="仿宋_GB2312" w:hint="eastAsia"/>
          <w:b/>
          <w:bCs/>
          <w:sz w:val="32"/>
          <w:szCs w:val="32"/>
        </w:rPr>
        <w:t>卫生健康支出（类）行政事业单位医疗（款）事业单位医疗（项）</w:t>
      </w:r>
      <w:r>
        <w:rPr>
          <w:rFonts w:ascii="TimesNewRoman" w:eastAsia="仿宋_GB2312" w:hAnsi="TimesNewRoman" w:cs="TimesNewRoman" w:hint="eastAsia"/>
          <w:kern w:val="0"/>
          <w:sz w:val="32"/>
          <w:szCs w:val="32"/>
        </w:rPr>
        <w:t>202</w:t>
      </w:r>
      <w:r w:rsidR="00B156CA">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6.</w:t>
      </w:r>
      <w:r w:rsidR="001553DA">
        <w:rPr>
          <w:rFonts w:ascii="TimesNewRoman" w:eastAsia="仿宋_GB2312" w:hAnsi="TimesNewRoman" w:cs="TimesNewRoman" w:hint="eastAsia"/>
          <w:kern w:val="0"/>
          <w:sz w:val="32"/>
          <w:szCs w:val="32"/>
        </w:rPr>
        <w:t>25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w:t>
      </w:r>
      <w:r w:rsidR="00B06924">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年预算</w:t>
      </w:r>
      <w:r w:rsidR="00B156CA">
        <w:rPr>
          <w:rFonts w:ascii="TimesNewRoman" w:eastAsia="仿宋_GB2312" w:hAnsi="TimesNewRoman" w:cs="TimesNewRoman" w:hint="eastAsia"/>
          <w:kern w:val="0"/>
          <w:sz w:val="32"/>
          <w:szCs w:val="32"/>
        </w:rPr>
        <w:t>减少</w:t>
      </w:r>
      <w:r w:rsidR="00B156CA">
        <w:rPr>
          <w:rFonts w:ascii="TimesNewRoman" w:eastAsia="仿宋_GB2312" w:hAnsi="TimesNewRoman" w:cs="TimesNewRoman" w:hint="eastAsia"/>
          <w:kern w:val="0"/>
          <w:sz w:val="32"/>
          <w:szCs w:val="32"/>
        </w:rPr>
        <w:t>0.39</w:t>
      </w:r>
      <w:r>
        <w:rPr>
          <w:rFonts w:ascii="TimesNewRoman" w:eastAsia="仿宋_GB2312" w:hAnsi="TimesNewRoman" w:cs="TimesNewRoman" w:hint="eastAsia"/>
          <w:kern w:val="0"/>
          <w:sz w:val="32"/>
          <w:szCs w:val="32"/>
        </w:rPr>
        <w:t>万元，</w:t>
      </w:r>
      <w:r w:rsidR="001553DA">
        <w:rPr>
          <w:rFonts w:ascii="TimesNewRoman" w:eastAsia="仿宋_GB2312" w:hAnsi="TimesNewRoman" w:cs="TimesNewRoman" w:hint="eastAsia"/>
          <w:kern w:val="0"/>
          <w:sz w:val="32"/>
          <w:szCs w:val="32"/>
        </w:rPr>
        <w:t>减少</w:t>
      </w:r>
      <w:r w:rsidR="001553DA">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w:t>
      </w:r>
      <w:r w:rsidR="001553DA">
        <w:rPr>
          <w:rFonts w:ascii="TimesNewRoman" w:eastAsia="仿宋_GB2312" w:hAnsi="TimesNewRoman" w:cs="TimesNewRoman" w:hint="eastAsia"/>
          <w:kern w:val="0"/>
          <w:sz w:val="32"/>
          <w:szCs w:val="32"/>
        </w:rPr>
        <w:t>87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1553DA">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原因主要是</w:t>
      </w:r>
      <w:r w:rsidR="001553DA">
        <w:rPr>
          <w:rFonts w:ascii="TimesNewRoman" w:eastAsia="仿宋_GB2312" w:hAnsi="TimesNewRoman" w:cs="TimesNewRoman" w:hint="eastAsia"/>
          <w:kern w:val="0"/>
          <w:sz w:val="32"/>
          <w:szCs w:val="32"/>
        </w:rPr>
        <w:t>政策性调整</w:t>
      </w:r>
      <w:r>
        <w:rPr>
          <w:rFonts w:ascii="TimesNewRoman" w:eastAsia="仿宋_GB2312" w:hAnsi="TimesNewRoman" w:cs="TimesNewRoman" w:hint="eastAsia"/>
          <w:kern w:val="0"/>
          <w:sz w:val="32"/>
          <w:szCs w:val="32"/>
        </w:rPr>
        <w:t>。</w:t>
      </w:r>
    </w:p>
    <w:p w:rsidR="00B052F7" w:rsidRDefault="00B052F7" w:rsidP="00B052F7">
      <w:pPr>
        <w:adjustRightInd w:val="0"/>
        <w:snapToGrid w:val="0"/>
        <w:spacing w:line="600" w:lineRule="exact"/>
        <w:ind w:firstLineChars="200" w:firstLine="643"/>
        <w:rPr>
          <w:rFonts w:ascii="TimesNewRoman" w:eastAsia="仿宋_GB2312" w:hAnsi="TimesNewRoman" w:cs="TimesNewRoman"/>
          <w:kern w:val="0"/>
          <w:sz w:val="32"/>
          <w:szCs w:val="32"/>
        </w:rPr>
      </w:pPr>
      <w:r>
        <w:rPr>
          <w:rFonts w:ascii="仿宋_GB2312" w:eastAsia="仿宋_GB2312" w:hAnsi="仿宋" w:cs="仿宋_GB2312" w:hint="eastAsia"/>
          <w:b/>
          <w:bCs/>
          <w:sz w:val="32"/>
          <w:szCs w:val="32"/>
        </w:rPr>
        <w:t>7</w:t>
      </w:r>
      <w:r>
        <w:rPr>
          <w:rFonts w:ascii="仿宋_GB2312" w:eastAsia="仿宋_GB2312" w:hAnsi="仿宋" w:cs="仿宋_GB2312"/>
          <w:b/>
          <w:bCs/>
          <w:sz w:val="32"/>
          <w:szCs w:val="32"/>
        </w:rPr>
        <w:t>.</w:t>
      </w:r>
      <w:r>
        <w:rPr>
          <w:rFonts w:ascii="仿宋_GB2312" w:eastAsia="仿宋_GB2312" w:hAnsi="仿宋" w:cs="仿宋_GB2312" w:hint="eastAsia"/>
          <w:b/>
          <w:bCs/>
          <w:sz w:val="32"/>
          <w:szCs w:val="32"/>
        </w:rPr>
        <w:t>卫生健康支出（类）行政事业单位医疗（款）公务员医疗补助（项）</w:t>
      </w:r>
      <w:r>
        <w:rPr>
          <w:rFonts w:ascii="TimesNewRoman" w:eastAsia="仿宋_GB2312" w:hAnsi="TimesNewRoman" w:cs="TimesNewRoman" w:hint="eastAsia"/>
          <w:kern w:val="0"/>
          <w:sz w:val="32"/>
          <w:szCs w:val="32"/>
        </w:rPr>
        <w:t>202</w:t>
      </w:r>
      <w:r w:rsidR="00C373B8">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w:t>
      </w:r>
      <w:r w:rsidR="00C373B8">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w:t>
      </w:r>
      <w:r w:rsidR="00C373B8">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年</w:t>
      </w:r>
      <w:r w:rsidR="00C373B8">
        <w:rPr>
          <w:rFonts w:ascii="TimesNewRoman" w:eastAsia="仿宋_GB2312" w:hAnsi="TimesNewRoman" w:cs="TimesNewRoman" w:hint="eastAsia"/>
          <w:kern w:val="0"/>
          <w:sz w:val="32"/>
          <w:szCs w:val="32"/>
        </w:rPr>
        <w:t>增加</w:t>
      </w:r>
      <w:r w:rsidR="00C373B8">
        <w:rPr>
          <w:rFonts w:ascii="TimesNewRoman" w:eastAsia="仿宋_GB2312" w:hAnsi="TimesNewRoman" w:cs="TimesNewRoman" w:hint="eastAsia"/>
          <w:kern w:val="0"/>
          <w:sz w:val="32"/>
          <w:szCs w:val="32"/>
        </w:rPr>
        <w:t>0.23</w:t>
      </w:r>
      <w:r>
        <w:rPr>
          <w:rFonts w:ascii="TimesNewRoman" w:eastAsia="仿宋_GB2312" w:hAnsi="TimesNewRoman" w:cs="TimesNewRoman" w:hint="eastAsia"/>
          <w:kern w:val="0"/>
          <w:sz w:val="32"/>
          <w:szCs w:val="32"/>
        </w:rPr>
        <w:t>万元，</w:t>
      </w:r>
      <w:r w:rsidR="00C373B8">
        <w:rPr>
          <w:rFonts w:ascii="TimesNewRoman" w:eastAsia="仿宋_GB2312" w:hAnsi="TimesNewRoman" w:cs="TimesNewRoman" w:hint="eastAsia"/>
          <w:kern w:val="0"/>
          <w:sz w:val="32"/>
          <w:szCs w:val="32"/>
        </w:rPr>
        <w:t>增加</w:t>
      </w:r>
      <w:r w:rsidR="00C373B8">
        <w:rPr>
          <w:rFonts w:ascii="TimesNewRoman" w:eastAsia="仿宋_GB2312" w:hAnsi="TimesNewRoman" w:cs="TimesNewRoman" w:hint="eastAsia"/>
          <w:kern w:val="0"/>
          <w:sz w:val="32"/>
          <w:szCs w:val="32"/>
        </w:rPr>
        <w:t>9.7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C373B8">
        <w:rPr>
          <w:rFonts w:ascii="TimesNewRoman" w:eastAsia="仿宋_GB2312" w:hAnsi="TimesNewRoman" w:cs="TimesNewRoman" w:hint="eastAsia"/>
          <w:kern w:val="0"/>
          <w:sz w:val="32"/>
          <w:szCs w:val="32"/>
        </w:rPr>
        <w:t>增加原因主要是随新进在职人员增加的</w:t>
      </w:r>
      <w:r w:rsidR="00C373B8">
        <w:rPr>
          <w:rFonts w:ascii="仿宋_GB2312" w:eastAsia="仿宋_GB2312" w:hAnsi="仿宋" w:cs="仿宋_GB2312" w:hint="eastAsia"/>
          <w:b/>
          <w:bCs/>
          <w:sz w:val="32"/>
          <w:szCs w:val="32"/>
        </w:rPr>
        <w:t>公务员医疗补助</w:t>
      </w:r>
      <w:r w:rsidR="00C373B8">
        <w:rPr>
          <w:rFonts w:ascii="TimesNewRoman" w:eastAsia="仿宋_GB2312" w:hAnsi="TimesNewRoman" w:cs="TimesNewRoman" w:hint="eastAsia"/>
          <w:kern w:val="0"/>
          <w:sz w:val="32"/>
          <w:szCs w:val="32"/>
        </w:rPr>
        <w:t>支出</w:t>
      </w:r>
      <w:r>
        <w:rPr>
          <w:rFonts w:ascii="TimesNewRoman" w:eastAsia="仿宋_GB2312" w:hAnsi="TimesNewRoman" w:cs="TimesNewRoman" w:hint="eastAsia"/>
          <w:kern w:val="0"/>
          <w:sz w:val="32"/>
          <w:szCs w:val="32"/>
        </w:rPr>
        <w:t>。</w:t>
      </w:r>
    </w:p>
    <w:p w:rsidR="00B052F7" w:rsidRDefault="00B052F7" w:rsidP="00B052F7">
      <w:pPr>
        <w:adjustRightInd w:val="0"/>
        <w:snapToGrid w:val="0"/>
        <w:spacing w:line="600" w:lineRule="exact"/>
        <w:ind w:firstLineChars="200" w:firstLine="643"/>
        <w:rPr>
          <w:rFonts w:ascii="TimesNewRoman" w:eastAsia="仿宋_GB2312" w:hAnsi="TimesNewRoman" w:cs="TimesNewRoman"/>
          <w:kern w:val="0"/>
          <w:sz w:val="32"/>
          <w:szCs w:val="32"/>
        </w:rPr>
      </w:pPr>
      <w:r>
        <w:rPr>
          <w:rFonts w:ascii="仿宋_GB2312" w:eastAsia="仿宋_GB2312" w:hAnsi="仿宋" w:cs="仿宋_GB2312" w:hint="eastAsia"/>
          <w:b/>
          <w:bCs/>
          <w:sz w:val="32"/>
          <w:szCs w:val="32"/>
        </w:rPr>
        <w:t>8</w:t>
      </w:r>
      <w:r>
        <w:rPr>
          <w:rFonts w:ascii="仿宋_GB2312" w:eastAsia="仿宋_GB2312" w:hAnsi="仿宋" w:cs="仿宋_GB2312"/>
          <w:b/>
          <w:bCs/>
          <w:sz w:val="32"/>
          <w:szCs w:val="32"/>
        </w:rPr>
        <w:t>.</w:t>
      </w:r>
      <w:r>
        <w:rPr>
          <w:rFonts w:ascii="仿宋_GB2312" w:eastAsia="仿宋_GB2312" w:hAnsi="仿宋" w:cs="仿宋_GB2312" w:hint="eastAsia"/>
          <w:b/>
          <w:bCs/>
          <w:sz w:val="32"/>
          <w:szCs w:val="32"/>
        </w:rPr>
        <w:t>住房保障支出（类）住房改革支出（款）住房公积金（项）</w:t>
      </w:r>
      <w:r>
        <w:rPr>
          <w:rFonts w:ascii="TimesNewRoman" w:eastAsia="仿宋_GB2312" w:hAnsi="TimesNewRoman" w:cs="TimesNewRoman" w:hint="eastAsia"/>
          <w:kern w:val="0"/>
          <w:sz w:val="32"/>
          <w:szCs w:val="32"/>
        </w:rPr>
        <w:t>202</w:t>
      </w:r>
      <w:r w:rsidR="005D384A">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年预算</w:t>
      </w:r>
      <w:r w:rsidR="00663942">
        <w:rPr>
          <w:rFonts w:ascii="TimesNewRoman" w:eastAsia="仿宋_GB2312" w:hAnsi="TimesNewRoman" w:cs="TimesNewRoman" w:hint="eastAsia"/>
          <w:kern w:val="0"/>
          <w:sz w:val="32"/>
          <w:szCs w:val="32"/>
        </w:rPr>
        <w:t>17.52</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w:t>
      </w:r>
      <w:r w:rsidR="00663942">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年预算增加</w:t>
      </w:r>
      <w:r w:rsidR="00663942">
        <w:rPr>
          <w:rFonts w:ascii="TimesNewRoman" w:eastAsia="仿宋_GB2312" w:hAnsi="TimesNewRoman" w:cs="TimesNewRoman" w:hint="eastAsia"/>
          <w:kern w:val="0"/>
          <w:sz w:val="32"/>
          <w:szCs w:val="32"/>
        </w:rPr>
        <w:t>1.17</w:t>
      </w:r>
      <w:r>
        <w:rPr>
          <w:rFonts w:ascii="TimesNewRoman" w:eastAsia="仿宋_GB2312" w:hAnsi="TimesNewRoman" w:cs="TimesNewRoman" w:hint="eastAsia"/>
          <w:kern w:val="0"/>
          <w:sz w:val="32"/>
          <w:szCs w:val="32"/>
        </w:rPr>
        <w:t>万元，增长</w:t>
      </w:r>
      <w:r w:rsidR="00663942">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w:t>
      </w:r>
      <w:r w:rsidR="00663942">
        <w:rPr>
          <w:rFonts w:ascii="TimesNewRoman" w:eastAsia="仿宋_GB2312" w:hAnsi="TimesNewRoman" w:cs="TimesNewRoman" w:hint="eastAsia"/>
          <w:kern w:val="0"/>
          <w:sz w:val="32"/>
          <w:szCs w:val="32"/>
        </w:rPr>
        <w:t>16</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，增长原因主要是</w:t>
      </w:r>
      <w:r w:rsidR="00663942">
        <w:rPr>
          <w:rFonts w:ascii="TimesNewRoman" w:eastAsia="仿宋_GB2312" w:hAnsi="TimesNewRoman" w:cs="TimesNewRoman" w:hint="eastAsia"/>
          <w:kern w:val="0"/>
          <w:sz w:val="32"/>
          <w:szCs w:val="32"/>
        </w:rPr>
        <w:t>随新进在职人员</w:t>
      </w:r>
      <w:r>
        <w:rPr>
          <w:rFonts w:ascii="TimesNewRoman" w:eastAsia="仿宋_GB2312" w:hAnsi="TimesNewRoman" w:cs="TimesNewRoman" w:hint="eastAsia"/>
          <w:kern w:val="0"/>
          <w:sz w:val="32"/>
          <w:szCs w:val="32"/>
        </w:rPr>
        <w:t>调整住房公积金。</w:t>
      </w:r>
    </w:p>
    <w:p w:rsidR="00B052F7" w:rsidRDefault="00B052F7" w:rsidP="00B052F7">
      <w:pPr>
        <w:adjustRightInd w:val="0"/>
        <w:snapToGrid w:val="0"/>
        <w:spacing w:line="600" w:lineRule="exact"/>
        <w:ind w:firstLineChars="200" w:firstLine="643"/>
        <w:rPr>
          <w:rFonts w:ascii="TimesNewRoman" w:eastAsia="仿宋_GB2312" w:hAnsi="TimesNewRoman" w:cs="TimesNewRoman"/>
          <w:kern w:val="0"/>
          <w:sz w:val="32"/>
          <w:szCs w:val="32"/>
        </w:rPr>
      </w:pPr>
      <w:r>
        <w:rPr>
          <w:rFonts w:ascii="仿宋_GB2312" w:eastAsia="仿宋_GB2312" w:hAnsi="仿宋" w:cs="仿宋_GB2312" w:hint="eastAsia"/>
          <w:b/>
          <w:bCs/>
          <w:sz w:val="32"/>
          <w:szCs w:val="32"/>
        </w:rPr>
        <w:lastRenderedPageBreak/>
        <w:t>9</w:t>
      </w:r>
      <w:r>
        <w:rPr>
          <w:rFonts w:ascii="仿宋_GB2312" w:eastAsia="仿宋_GB2312" w:hAnsi="仿宋" w:cs="仿宋_GB2312"/>
          <w:b/>
          <w:bCs/>
          <w:sz w:val="32"/>
          <w:szCs w:val="32"/>
        </w:rPr>
        <w:t>.</w:t>
      </w:r>
      <w:r>
        <w:rPr>
          <w:rFonts w:ascii="仿宋_GB2312" w:eastAsia="仿宋_GB2312" w:hAnsi="仿宋" w:cs="仿宋_GB2312" w:hint="eastAsia"/>
          <w:b/>
          <w:bCs/>
          <w:sz w:val="32"/>
          <w:szCs w:val="32"/>
        </w:rPr>
        <w:t>住房保障支出（类）住房改革支出（款）提租补贴（项）</w:t>
      </w:r>
      <w:r>
        <w:rPr>
          <w:rFonts w:ascii="TimesNewRoman" w:eastAsia="仿宋_GB2312" w:hAnsi="TimesNewRoman" w:cs="TimesNewRoman" w:hint="eastAsia"/>
          <w:kern w:val="0"/>
          <w:sz w:val="32"/>
          <w:szCs w:val="32"/>
        </w:rPr>
        <w:t>202</w:t>
      </w:r>
      <w:r w:rsidR="005D384A">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4.</w:t>
      </w:r>
      <w:r w:rsidR="005D384A">
        <w:rPr>
          <w:rFonts w:ascii="TimesNewRoman" w:eastAsia="仿宋_GB2312" w:hAnsi="TimesNewRoman" w:cs="TimesNewRoman" w:hint="eastAsia"/>
          <w:kern w:val="0"/>
          <w:sz w:val="32"/>
          <w:szCs w:val="32"/>
        </w:rPr>
        <w:t>38</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w:t>
      </w:r>
      <w:r w:rsidR="005D384A">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年预算增加</w:t>
      </w:r>
      <w:r w:rsidR="005D384A">
        <w:rPr>
          <w:rFonts w:ascii="TimesNewRoman" w:eastAsia="仿宋_GB2312" w:hAnsi="TimesNewRoman" w:cs="TimesNewRoman" w:hint="eastAsia"/>
          <w:kern w:val="0"/>
          <w:sz w:val="32"/>
          <w:szCs w:val="32"/>
        </w:rPr>
        <w:t>0.29</w:t>
      </w:r>
      <w:r>
        <w:rPr>
          <w:rFonts w:ascii="TimesNewRoman" w:eastAsia="仿宋_GB2312" w:hAnsi="TimesNewRoman" w:cs="TimesNewRoman" w:hint="eastAsia"/>
          <w:kern w:val="0"/>
          <w:sz w:val="32"/>
          <w:szCs w:val="32"/>
        </w:rPr>
        <w:t>万元，增长</w:t>
      </w:r>
      <w:r w:rsidR="005D384A">
        <w:rPr>
          <w:rFonts w:ascii="TimesNewRoman" w:eastAsia="仿宋_GB2312" w:hAnsi="TimesNewRoman" w:cs="TimesNewRoman" w:hint="eastAsia"/>
          <w:kern w:val="0"/>
          <w:sz w:val="32"/>
          <w:szCs w:val="32"/>
        </w:rPr>
        <w:t>7.09</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，增长原因主要是</w:t>
      </w:r>
      <w:r w:rsidR="005D384A">
        <w:rPr>
          <w:rFonts w:ascii="TimesNewRoman" w:eastAsia="仿宋_GB2312" w:hAnsi="TimesNewRoman" w:cs="TimesNewRoman" w:hint="eastAsia"/>
          <w:kern w:val="0"/>
          <w:sz w:val="32"/>
          <w:szCs w:val="32"/>
        </w:rPr>
        <w:t>随新进在职人员调整提租补贴</w:t>
      </w:r>
      <w:r>
        <w:rPr>
          <w:rFonts w:ascii="TimesNewRoman" w:eastAsia="仿宋_GB2312" w:hAnsi="TimesNewRoman" w:cs="TimesNewRoman" w:hint="eastAsia"/>
          <w:kern w:val="0"/>
          <w:sz w:val="32"/>
          <w:szCs w:val="32"/>
        </w:rPr>
        <w:t>。</w:t>
      </w:r>
    </w:p>
    <w:p w:rsidR="00B052F7" w:rsidRDefault="00B052F7" w:rsidP="00B052F7">
      <w:pPr>
        <w:adjustRightInd w:val="0"/>
        <w:snapToGrid w:val="0"/>
        <w:spacing w:line="600" w:lineRule="exact"/>
        <w:ind w:firstLineChars="200" w:firstLine="643"/>
        <w:rPr>
          <w:rFonts w:ascii="TimesNewRoman" w:eastAsia="仿宋_GB2312" w:hAnsi="TimesNewRoman" w:cs="TimesNewRoman"/>
          <w:kern w:val="0"/>
          <w:sz w:val="32"/>
          <w:szCs w:val="32"/>
        </w:rPr>
      </w:pPr>
      <w:r>
        <w:rPr>
          <w:rFonts w:ascii="仿宋_GB2312" w:eastAsia="仿宋_GB2312" w:hAnsi="仿宋" w:cs="仿宋_GB2312" w:hint="eastAsia"/>
          <w:b/>
          <w:bCs/>
          <w:sz w:val="32"/>
          <w:szCs w:val="32"/>
        </w:rPr>
        <w:t>10</w:t>
      </w:r>
      <w:r>
        <w:rPr>
          <w:rFonts w:ascii="仿宋_GB2312" w:eastAsia="仿宋_GB2312" w:hAnsi="仿宋" w:cs="仿宋_GB2312"/>
          <w:b/>
          <w:bCs/>
          <w:sz w:val="32"/>
          <w:szCs w:val="32"/>
        </w:rPr>
        <w:t>.</w:t>
      </w:r>
      <w:r>
        <w:rPr>
          <w:rFonts w:ascii="仿宋_GB2312" w:eastAsia="仿宋_GB2312" w:hAnsi="仿宋" w:cs="仿宋_GB2312" w:hint="eastAsia"/>
          <w:b/>
          <w:bCs/>
          <w:sz w:val="32"/>
          <w:szCs w:val="32"/>
        </w:rPr>
        <w:t>住房保障支出（类）住房改革支出（款）购房补贴（项）</w:t>
      </w:r>
      <w:r>
        <w:rPr>
          <w:rFonts w:ascii="TimesNewRoman" w:eastAsia="仿宋_GB2312" w:hAnsi="TimesNewRoman" w:cs="TimesNewRoman" w:hint="eastAsia"/>
          <w:kern w:val="0"/>
          <w:sz w:val="32"/>
          <w:szCs w:val="32"/>
        </w:rPr>
        <w:t>202</w:t>
      </w:r>
      <w:r w:rsidR="005D384A">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年预算</w:t>
      </w:r>
      <w:r w:rsidR="005D384A">
        <w:rPr>
          <w:rFonts w:ascii="TimesNewRoman" w:eastAsia="仿宋_GB2312" w:hAnsi="TimesNewRoman" w:cs="TimesNewRoman" w:hint="eastAsia"/>
          <w:kern w:val="0"/>
          <w:sz w:val="32"/>
          <w:szCs w:val="32"/>
        </w:rPr>
        <w:t>7.3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w:t>
      </w:r>
      <w:r w:rsidR="005D384A">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0.</w:t>
      </w:r>
      <w:r w:rsidR="005D384A">
        <w:rPr>
          <w:rFonts w:ascii="TimesNewRoman" w:eastAsia="仿宋_GB2312" w:hAnsi="TimesNewRoman" w:cs="TimesNewRoman" w:hint="eastAsia"/>
          <w:kern w:val="0"/>
          <w:sz w:val="32"/>
          <w:szCs w:val="32"/>
        </w:rPr>
        <w:t>49</w:t>
      </w:r>
      <w:r>
        <w:rPr>
          <w:rFonts w:ascii="TimesNewRoman" w:eastAsia="仿宋_GB2312" w:hAnsi="TimesNewRoman" w:cs="TimesNewRoman" w:hint="eastAsia"/>
          <w:kern w:val="0"/>
          <w:sz w:val="32"/>
          <w:szCs w:val="32"/>
        </w:rPr>
        <w:t>万元，增长</w:t>
      </w:r>
      <w:r w:rsidR="005D384A">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w:t>
      </w:r>
      <w:r w:rsidR="005D384A">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，增长原因主要是在职人员随增资调整购房补贴。</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六、关于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年一般公共预算基本支出表的说明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36907">
        <w:rPr>
          <w:rFonts w:ascii="TimesNewRoman" w:eastAsia="仿宋_GB2312" w:hAnsi="TimesNewRoman" w:cs="TimesNewRoman" w:hint="eastAsia"/>
          <w:sz w:val="32"/>
          <w:szCs w:val="32"/>
        </w:rPr>
        <w:t>刘开渠纪念馆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年一般公共预算基本支出</w:t>
      </w:r>
      <w:r w:rsidR="00036907">
        <w:rPr>
          <w:rFonts w:ascii="TimesNewRoman" w:eastAsia="仿宋_GB2312" w:hAnsi="TimesNewRoman" w:cs="TimesNewRoman" w:hint="eastAsia"/>
          <w:kern w:val="0"/>
          <w:sz w:val="32"/>
          <w:szCs w:val="32"/>
        </w:rPr>
        <w:t>206.39</w:t>
      </w:r>
      <w:r w:rsidRPr="009A3CA3">
        <w:rPr>
          <w:rFonts w:ascii="TimesNewRoman" w:eastAsia="仿宋_GB2312" w:hAnsi="TimesNewRoman" w:cs="TimesNewRoman" w:hint="eastAsia"/>
          <w:kern w:val="0"/>
          <w:sz w:val="32"/>
          <w:szCs w:val="32"/>
        </w:rPr>
        <w:t>万元，其中，人员经费</w:t>
      </w:r>
      <w:r w:rsidR="00036907">
        <w:rPr>
          <w:rFonts w:ascii="TimesNewRoman" w:eastAsia="仿宋_GB2312" w:hAnsi="TimesNewRoman" w:cs="TimesNewRoman" w:hint="eastAsia"/>
          <w:kern w:val="0"/>
          <w:sz w:val="32"/>
          <w:szCs w:val="32"/>
        </w:rPr>
        <w:t>193.19</w:t>
      </w:r>
      <w:r w:rsidRPr="009A3CA3">
        <w:rPr>
          <w:rFonts w:ascii="TimesNewRoman" w:eastAsia="仿宋_GB2312" w:hAnsi="TimesNewRoman" w:cs="TimesNewRoman" w:hint="eastAsia"/>
          <w:kern w:val="0"/>
          <w:sz w:val="32"/>
          <w:szCs w:val="32"/>
        </w:rPr>
        <w:t>万元，公用经费</w:t>
      </w:r>
      <w:r w:rsidR="00036907">
        <w:rPr>
          <w:rFonts w:ascii="TimesNewRoman" w:eastAsia="仿宋_GB2312" w:hAnsi="TimesNewRoman" w:cs="TimesNewRoman" w:hint="eastAsia"/>
          <w:kern w:val="0"/>
          <w:sz w:val="32"/>
          <w:szCs w:val="32"/>
        </w:rPr>
        <w:t>13.2</w:t>
      </w:r>
      <w:r w:rsidRPr="009A3CA3">
        <w:rPr>
          <w:rFonts w:ascii="TimesNewRoman" w:eastAsia="仿宋_GB2312" w:hAnsi="TimesNewRoman" w:cs="TimesNewRoman" w:hint="eastAsia"/>
          <w:kern w:val="0"/>
          <w:sz w:val="32"/>
          <w:szCs w:val="32"/>
        </w:rPr>
        <w:t>万元。</w:t>
      </w:r>
    </w:p>
    <w:p w:rsidR="00036907" w:rsidRDefault="00E907C4" w:rsidP="00036907">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（一）人员经费</w:t>
      </w:r>
      <w:r w:rsidR="00036907">
        <w:rPr>
          <w:rFonts w:ascii="TimesNewRoman" w:eastAsia="仿宋_GB2312" w:hAnsi="TimesNewRoman" w:cs="TimesNewRoman" w:hint="eastAsia"/>
          <w:b/>
          <w:kern w:val="0"/>
          <w:sz w:val="32"/>
          <w:szCs w:val="32"/>
        </w:rPr>
        <w:t>193.19</w:t>
      </w:r>
      <w:r w:rsidRPr="009A3CA3">
        <w:rPr>
          <w:rFonts w:ascii="TimesNewRoman" w:eastAsia="仿宋_GB2312" w:hAnsi="TimesNewRoman" w:cs="TimesNewRoman" w:hint="eastAsia"/>
          <w:b/>
          <w:kern w:val="0"/>
          <w:sz w:val="32"/>
          <w:szCs w:val="32"/>
        </w:rPr>
        <w:t>万元，</w:t>
      </w:r>
      <w:r w:rsidR="00036907">
        <w:rPr>
          <w:rFonts w:ascii="TimesNewRoman" w:eastAsia="仿宋_GB2312" w:hAnsi="TimesNewRoman" w:cs="TimesNewRoman" w:hint="eastAsia"/>
          <w:kern w:val="0"/>
          <w:sz w:val="32"/>
          <w:szCs w:val="32"/>
        </w:rPr>
        <w:t>基本工资、津贴补贴、奖金、绩效工资、机关事业单位基本养老保险费、职业年金缴费、职工基本医疗保险缴费、公务员医疗补助缴费、其他社会保障缴费、工会经费、福利费、住房公积金、退休费、对其他个人和家庭的补助支出。</w:t>
      </w:r>
    </w:p>
    <w:p w:rsidR="00036907" w:rsidRDefault="00E907C4" w:rsidP="00036907">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（二）公用经费</w:t>
      </w:r>
      <w:r w:rsidR="00036907">
        <w:rPr>
          <w:rFonts w:ascii="TimesNewRoman" w:eastAsia="仿宋_GB2312" w:hAnsi="TimesNewRoman" w:cs="TimesNewRoman" w:hint="eastAsia"/>
          <w:kern w:val="0"/>
          <w:sz w:val="32"/>
          <w:szCs w:val="32"/>
        </w:rPr>
        <w:t>13.2</w:t>
      </w:r>
      <w:r w:rsidRPr="009A3CA3">
        <w:rPr>
          <w:rFonts w:ascii="TimesNewRoman" w:eastAsia="仿宋_GB2312" w:hAnsi="TimesNewRoman" w:cs="TimesNewRoman" w:hint="eastAsia"/>
          <w:b/>
          <w:kern w:val="0"/>
          <w:sz w:val="32"/>
          <w:szCs w:val="32"/>
        </w:rPr>
        <w:t>万元，</w:t>
      </w:r>
      <w:r w:rsidR="00036907">
        <w:rPr>
          <w:rFonts w:ascii="TimesNewRoman" w:eastAsia="仿宋_GB2312" w:hAnsi="TimesNewRoman" w:cs="TimesNewRoman" w:hint="eastAsia"/>
          <w:kern w:val="0"/>
          <w:sz w:val="32"/>
          <w:szCs w:val="32"/>
        </w:rPr>
        <w:t>主要包括：公务接待费、其他商品服务支出等。</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七、关于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年政府性基金预算支出表的说明</w:t>
      </w:r>
    </w:p>
    <w:p w:rsidR="00036907" w:rsidRDefault="00036907" w:rsidP="009A3CA3">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淮北市刘开渠纪念馆</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年没有政府性基金预算拨款收入，也没有使用政府性基金预算拨款安排的支出。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八、关于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年国有资本经营预算支出表的说明</w:t>
      </w:r>
    </w:p>
    <w:p w:rsidR="00036907" w:rsidRDefault="00036907" w:rsidP="00036907">
      <w:pPr>
        <w:pStyle w:val="a3"/>
        <w:adjustRightInd w:val="0"/>
        <w:snapToGrid w:val="0"/>
        <w:spacing w:before="0" w:beforeAutospacing="0" w:after="0" w:afterAutospacing="0" w:line="600" w:lineRule="exact"/>
        <w:ind w:firstLineChars="200" w:firstLine="640"/>
        <w:rPr>
          <w:rFonts w:ascii="TimesNewRoman" w:eastAsia="仿宋_GB2312" w:hAnsi="TimesNewRoman" w:cs="TimesNewRoman"/>
          <w:sz w:val="32"/>
          <w:szCs w:val="32"/>
        </w:rPr>
      </w:pPr>
      <w:r>
        <w:rPr>
          <w:rFonts w:ascii="TimesNewRoman" w:eastAsia="仿宋_GB2312" w:hAnsi="TimesNewRoman" w:cs="TimesNewRoman" w:hint="eastAsia"/>
          <w:sz w:val="32"/>
          <w:szCs w:val="32"/>
        </w:rPr>
        <w:lastRenderedPageBreak/>
        <w:t>淮北市刘开渠纪念馆</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年没有国有资本经营预算拨款收入，也没有使用国有资本经营预算拨款安排的支出。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九、关于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年项目支出表的说明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36907">
        <w:rPr>
          <w:rFonts w:ascii="TimesNewRoman" w:eastAsia="仿宋_GB2312" w:hAnsi="TimesNewRoman" w:cs="TimesNewRoman" w:hint="eastAsia"/>
          <w:kern w:val="0"/>
          <w:sz w:val="32"/>
          <w:szCs w:val="32"/>
        </w:rPr>
        <w:t>刘开渠纪念馆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年预算共安排项目支出</w:t>
      </w:r>
      <w:r w:rsidR="00036907">
        <w:rPr>
          <w:rFonts w:ascii="TimesNewRoman" w:eastAsia="仿宋_GB2312" w:hAnsi="TimesNewRoman" w:cs="TimesNewRoman" w:hint="eastAsia"/>
          <w:kern w:val="0"/>
          <w:sz w:val="32"/>
          <w:szCs w:val="32"/>
        </w:rPr>
        <w:t>42</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036907">
        <w:rPr>
          <w:rFonts w:ascii="TimesNewRoman" w:eastAsia="仿宋_GB2312" w:hAnsi="TimesNewRoman" w:cs="TimesNewRoman" w:hint="eastAsia"/>
          <w:kern w:val="0"/>
          <w:sz w:val="32"/>
          <w:szCs w:val="32"/>
        </w:rPr>
        <w:t>11</w:t>
      </w:r>
      <w:r w:rsidRPr="009A3CA3">
        <w:rPr>
          <w:rFonts w:ascii="TimesNewRoman" w:eastAsia="仿宋_GB2312" w:hAnsi="TimesNewRoman" w:cs="TimesNewRoman" w:hint="eastAsia"/>
          <w:kern w:val="0"/>
          <w:sz w:val="32"/>
          <w:szCs w:val="32"/>
        </w:rPr>
        <w:t>万元，下降</w:t>
      </w:r>
      <w:r w:rsidR="00036907">
        <w:rPr>
          <w:rFonts w:ascii="TimesNewRoman" w:eastAsia="仿宋_GB2312" w:hAnsi="TimesNewRoman" w:cs="TimesNewRoman" w:hint="eastAsia"/>
          <w:kern w:val="0"/>
          <w:sz w:val="32"/>
          <w:szCs w:val="32"/>
        </w:rPr>
        <w:t>20.75</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036907">
        <w:rPr>
          <w:rFonts w:ascii="TimesNewRoman" w:eastAsia="仿宋_GB2312" w:hAnsi="TimesNewRoman" w:cs="TimesNewRoman" w:hint="eastAsia"/>
          <w:kern w:val="0"/>
          <w:sz w:val="32"/>
          <w:szCs w:val="32"/>
        </w:rPr>
        <w:t>政策性调整项目预算</w:t>
      </w:r>
      <w:r w:rsidRPr="009A3CA3">
        <w:rPr>
          <w:rFonts w:ascii="TimesNewRoman" w:eastAsia="仿宋_GB2312" w:hAnsi="TimesNewRoman" w:cs="TimesNewRoman" w:hint="eastAsia"/>
          <w:kern w:val="0"/>
          <w:sz w:val="32"/>
          <w:szCs w:val="32"/>
        </w:rPr>
        <w:t>。主要包括：本年财政拨款安排</w:t>
      </w:r>
      <w:r w:rsidR="00036907">
        <w:rPr>
          <w:rFonts w:ascii="TimesNewRoman" w:eastAsia="仿宋_GB2312" w:hAnsi="TimesNewRoman" w:cs="TimesNewRoman" w:hint="eastAsia"/>
          <w:kern w:val="0"/>
          <w:sz w:val="32"/>
          <w:szCs w:val="32"/>
        </w:rPr>
        <w:t>42</w:t>
      </w:r>
      <w:r w:rsidRPr="009A3CA3">
        <w:rPr>
          <w:rFonts w:ascii="TimesNewRoman" w:eastAsia="仿宋_GB2312" w:hAnsi="TimesNewRoman" w:cs="TimesNewRoman" w:hint="eastAsia"/>
          <w:kern w:val="0"/>
          <w:sz w:val="32"/>
          <w:szCs w:val="32"/>
        </w:rPr>
        <w:t>万元（其中，一般公共预算拨款安排</w:t>
      </w:r>
      <w:r w:rsidR="00036907">
        <w:rPr>
          <w:rFonts w:ascii="TimesNewRoman" w:eastAsia="仿宋_GB2312" w:hAnsi="TimesNewRoman" w:cs="TimesNewRoman" w:hint="eastAsia"/>
          <w:kern w:val="0"/>
          <w:sz w:val="32"/>
          <w:szCs w:val="32"/>
        </w:rPr>
        <w:t>42</w:t>
      </w:r>
      <w:r w:rsidRPr="009A3CA3">
        <w:rPr>
          <w:rFonts w:ascii="TimesNewRoman" w:eastAsia="仿宋_GB2312" w:hAnsi="TimesNewRoman" w:cs="TimesNewRoman" w:hint="eastAsia"/>
          <w:kern w:val="0"/>
          <w:sz w:val="32"/>
          <w:szCs w:val="32"/>
        </w:rPr>
        <w:t>万元，政府性基金预算拨款安排</w:t>
      </w:r>
      <w:r w:rsidR="00036907">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万元），财政专户管理资金安排</w:t>
      </w:r>
      <w:r w:rsidR="00036907">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年政府采购支出表的说明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36907">
        <w:rPr>
          <w:rFonts w:ascii="TimesNewRoman" w:eastAsia="仿宋_GB2312" w:hAnsi="TimesNewRoman" w:cs="TimesNewRoman" w:hint="eastAsia"/>
          <w:kern w:val="0"/>
          <w:sz w:val="32"/>
          <w:szCs w:val="32"/>
        </w:rPr>
        <w:t>刘开渠纪念馆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十一、关于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年政府购买服务支出表的说明</w:t>
      </w:r>
    </w:p>
    <w:p w:rsidR="00E907C4" w:rsidRDefault="00036907" w:rsidP="009A3CA3">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淮北市刘开渠纪念馆</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年没有安排政府购买服务支出。</w:t>
      </w:r>
    </w:p>
    <w:p w:rsidR="00FB0569" w:rsidRDefault="00FB0569" w:rsidP="00FB0569">
      <w:pPr>
        <w:pStyle w:val="a3"/>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sz w:val="32"/>
          <w:szCs w:val="32"/>
        </w:rPr>
        <w:t>十</w:t>
      </w:r>
      <w:r>
        <w:rPr>
          <w:rFonts w:ascii="TimesNewRoman" w:eastAsia="黑体" w:hAnsi="TimesNewRoman" w:cs="TimesNewRoman" w:hint="eastAsia"/>
          <w:sz w:val="32"/>
          <w:szCs w:val="32"/>
        </w:rPr>
        <w:t>二</w:t>
      </w:r>
      <w:r>
        <w:rPr>
          <w:rFonts w:ascii="TimesNewRoman" w:eastAsia="黑体" w:hAnsi="TimesNewRoman" w:cs="TimesNewRoman"/>
          <w:sz w:val="32"/>
          <w:szCs w:val="32"/>
        </w:rPr>
        <w:t>、关于</w:t>
      </w:r>
      <w:r>
        <w:rPr>
          <w:rFonts w:ascii="TimesNewRoman" w:eastAsia="黑体" w:hAnsi="TimesNewRoman" w:cs="TimesNewRoman" w:hint="eastAsia"/>
          <w:sz w:val="32"/>
          <w:szCs w:val="32"/>
        </w:rPr>
        <w:t>2025</w:t>
      </w:r>
      <w:r>
        <w:rPr>
          <w:rFonts w:ascii="TimesNewRoman" w:eastAsia="黑体" w:hAnsi="TimesNewRoman" w:cs="TimesNewRoman"/>
          <w:sz w:val="32"/>
          <w:szCs w:val="32"/>
        </w:rPr>
        <w:t>年通用资产配置支出表的说明</w:t>
      </w:r>
    </w:p>
    <w:p w:rsidR="00FB0569" w:rsidRDefault="00FB0569" w:rsidP="00FB0569">
      <w:pPr>
        <w:pStyle w:val="a3"/>
        <w:adjustRightInd w:val="0"/>
        <w:snapToGrid w:val="0"/>
        <w:spacing w:line="560" w:lineRule="exact"/>
        <w:ind w:firstLineChars="200" w:firstLine="640"/>
        <w:outlineLvl w:val="0"/>
        <w:rPr>
          <w:rFonts w:ascii="TimesNewRoman" w:eastAsia="仿宋_GB2312" w:hAnsi="TimesNewRoman" w:cs="TimesNewRoman"/>
          <w:sz w:val="32"/>
          <w:szCs w:val="32"/>
        </w:rPr>
      </w:pPr>
      <w:r>
        <w:rPr>
          <w:rFonts w:ascii="TimesNewRoman" w:eastAsia="仿宋_GB2312" w:hAnsi="TimesNewRoman" w:cs="TimesNewRoman" w:hint="eastAsia"/>
          <w:sz w:val="32"/>
          <w:szCs w:val="32"/>
        </w:rPr>
        <w:t>淮北市文化馆</w:t>
      </w:r>
      <w:r>
        <w:rPr>
          <w:rFonts w:ascii="TimesNewRoman" w:eastAsia="仿宋_GB2312" w:hAnsi="TimesNewRoman" w:cs="TimesNewRoman" w:hint="eastAsia"/>
          <w:sz w:val="32"/>
          <w:szCs w:val="32"/>
        </w:rPr>
        <w:t>2025</w:t>
      </w:r>
      <w:r>
        <w:rPr>
          <w:rFonts w:ascii="TimesNewRoman" w:eastAsia="仿宋_GB2312" w:hAnsi="TimesNewRoman" w:cs="TimesNewRoman"/>
          <w:sz w:val="32"/>
          <w:szCs w:val="32"/>
        </w:rPr>
        <w:t>年预算安排通用资产配置支出</w:t>
      </w:r>
      <w:r>
        <w:rPr>
          <w:rFonts w:ascii="TimesNewRoman" w:eastAsia="仿宋_GB2312" w:hAnsi="TimesNewRoman" w:cs="TimesNewRoman" w:hint="eastAsia"/>
          <w:sz w:val="32"/>
          <w:szCs w:val="32"/>
        </w:rPr>
        <w:t>2.94</w:t>
      </w:r>
      <w:r>
        <w:rPr>
          <w:rFonts w:ascii="TimesNewRoman" w:eastAsia="仿宋_GB2312" w:hAnsi="TimesNewRoman" w:cs="TimesNewRoman"/>
          <w:sz w:val="32"/>
          <w:szCs w:val="32"/>
        </w:rPr>
        <w:t>万元，比</w:t>
      </w:r>
      <w:r>
        <w:rPr>
          <w:rFonts w:ascii="TimesNewRoman" w:eastAsia="仿宋_GB2312" w:hAnsi="TimesNewRoman" w:cs="TimesNewRoman" w:hint="eastAsia"/>
          <w:sz w:val="32"/>
          <w:szCs w:val="32"/>
        </w:rPr>
        <w:t>2024</w:t>
      </w:r>
      <w:r>
        <w:rPr>
          <w:rFonts w:ascii="TimesNewRoman" w:eastAsia="仿宋_GB2312" w:hAnsi="TimesNewRoman" w:cs="TimesNewRoman"/>
          <w:sz w:val="32"/>
          <w:szCs w:val="32"/>
        </w:rPr>
        <w:t>年预算增加</w:t>
      </w:r>
      <w:r>
        <w:rPr>
          <w:rFonts w:ascii="TimesNewRoman" w:eastAsia="仿宋_GB2312" w:hAnsi="TimesNewRoman" w:cs="TimesNewRoman" w:hint="eastAsia"/>
          <w:sz w:val="32"/>
          <w:szCs w:val="32"/>
        </w:rPr>
        <w:t>1.34</w:t>
      </w:r>
      <w:r>
        <w:rPr>
          <w:rFonts w:ascii="TimesNewRoman" w:eastAsia="仿宋_GB2312" w:hAnsi="TimesNewRoman" w:cs="TimesNewRoman"/>
          <w:sz w:val="32"/>
          <w:szCs w:val="32"/>
        </w:rPr>
        <w:t>万元，增长</w:t>
      </w:r>
      <w:r>
        <w:rPr>
          <w:rFonts w:ascii="TimesNewRoman" w:eastAsia="仿宋_GB2312" w:hAnsi="TimesNewRoman" w:cs="TimesNewRoman" w:hint="eastAsia"/>
          <w:sz w:val="32"/>
          <w:szCs w:val="32"/>
        </w:rPr>
        <w:t>83.75</w:t>
      </w:r>
      <w:r>
        <w:rPr>
          <w:rFonts w:ascii="TimesNewRoman" w:eastAsia="仿宋_GB2312" w:hAnsi="TimesNewRoman" w:cs="TimesNewRoman"/>
          <w:sz w:val="32"/>
          <w:szCs w:val="32"/>
        </w:rPr>
        <w:t>%</w:t>
      </w:r>
      <w:r>
        <w:rPr>
          <w:rFonts w:ascii="TimesNewRoman" w:eastAsia="仿宋_GB2312" w:hAnsi="TimesNewRoman" w:cs="TimesNewRoman"/>
          <w:sz w:val="32"/>
          <w:szCs w:val="32"/>
        </w:rPr>
        <w:t>，原因主要是</w:t>
      </w:r>
      <w:r>
        <w:rPr>
          <w:rFonts w:ascii="TimesNewRoman" w:eastAsia="仿宋_GB2312" w:hAnsi="TimesNewRoman" w:cs="TimesNewRoman" w:hint="eastAsia"/>
          <w:sz w:val="32"/>
          <w:szCs w:val="32"/>
        </w:rPr>
        <w:t>资产数量和种类增加</w:t>
      </w:r>
      <w:r>
        <w:rPr>
          <w:rFonts w:ascii="TimesNewRoman" w:eastAsia="仿宋_GB2312" w:hAnsi="TimesNewRoman" w:cs="TimesNewRoman"/>
          <w:sz w:val="32"/>
          <w:szCs w:val="32"/>
        </w:rPr>
        <w:t>。</w:t>
      </w:r>
    </w:p>
    <w:p w:rsidR="00FB0569" w:rsidRPr="009A3CA3" w:rsidRDefault="00FB0569" w:rsidP="009A3CA3">
      <w:pPr>
        <w:pStyle w:val="a3"/>
        <w:adjustRightInd w:val="0"/>
        <w:snapToGrid w:val="0"/>
        <w:spacing w:line="560" w:lineRule="exact"/>
        <w:ind w:firstLineChars="196" w:firstLine="627"/>
        <w:rPr>
          <w:rFonts w:ascii="TimesNewRoman" w:eastAsia="楷体_GB2312" w:hAnsi="TimesNewRoman" w:cs="TimesNewRoman"/>
          <w:color w:val="FF0000"/>
          <w:sz w:val="32"/>
          <w:szCs w:val="32"/>
        </w:rPr>
      </w:pP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lastRenderedPageBreak/>
        <w:t>十</w:t>
      </w:r>
      <w:r w:rsidR="00C074FC">
        <w:rPr>
          <w:rFonts w:ascii="TimesNewRoman" w:eastAsia="黑体" w:hAnsi="TimesNewRoman" w:cs="TimesNewRoman" w:hint="eastAsia"/>
          <w:bCs/>
          <w:sz w:val="32"/>
          <w:szCs w:val="32"/>
        </w:rPr>
        <w:t>三</w:t>
      </w:r>
      <w:r w:rsidRPr="009A3CA3">
        <w:rPr>
          <w:rFonts w:ascii="TimesNewRoman" w:eastAsia="黑体" w:hAnsi="TimesNewRoman" w:cs="TimesNewRoman" w:hint="eastAsia"/>
          <w:bCs/>
          <w:sz w:val="32"/>
          <w:szCs w:val="32"/>
        </w:rPr>
        <w:t>、其他重要事项情况说明</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（一）项目及绩效目标情况。</w:t>
      </w:r>
    </w:p>
    <w:p w:rsidR="00896557" w:rsidRDefault="00896557" w:rsidP="00D94C1A">
      <w:pPr>
        <w:adjustRightInd w:val="0"/>
        <w:snapToGrid w:val="0"/>
        <w:spacing w:line="600" w:lineRule="exact"/>
        <w:ind w:firstLineChars="300" w:firstLine="964"/>
        <w:rPr>
          <w:rFonts w:ascii="仿宋_GB2312" w:eastAsia="仿宋_GB2312" w:hAnsi="楷体"/>
          <w:b/>
          <w:bCs/>
          <w:sz w:val="32"/>
          <w:szCs w:val="32"/>
        </w:rPr>
      </w:pPr>
      <w:r>
        <w:rPr>
          <w:rFonts w:ascii="仿宋_GB2312" w:eastAsia="仿宋_GB2312" w:hAnsi="楷体" w:hint="eastAsia"/>
          <w:b/>
          <w:bCs/>
          <w:sz w:val="32"/>
          <w:szCs w:val="32"/>
        </w:rPr>
        <w:t>1.“ 运行经费”项目。</w:t>
      </w:r>
    </w:p>
    <w:p w:rsidR="00896557" w:rsidRDefault="00896557" w:rsidP="00D94C1A">
      <w:pPr>
        <w:ind w:firstLineChars="200" w:firstLine="640"/>
        <w:rPr>
          <w:rFonts w:ascii="TimesNewRoman" w:eastAsia="仿宋_GB2312" w:hAnsi="TimesNewRoman" w:cs="TimesNewRoman"/>
          <w:kern w:val="0"/>
          <w:sz w:val="32"/>
          <w:szCs w:val="32"/>
        </w:rPr>
      </w:pPr>
      <w:r>
        <w:rPr>
          <w:rFonts w:ascii="仿宋_GB2312" w:eastAsia="仿宋_GB2312" w:hAnsi="楷体" w:hint="eastAsia"/>
          <w:sz w:val="32"/>
          <w:szCs w:val="32"/>
        </w:rPr>
        <w:t>（1）</w:t>
      </w:r>
      <w:r>
        <w:rPr>
          <w:rFonts w:ascii="TimesNewRoman" w:eastAsia="仿宋_GB2312" w:hAnsi="TimesNewRoman" w:cs="TimesNewRoman" w:hint="eastAsia"/>
          <w:kern w:val="0"/>
          <w:sz w:val="32"/>
          <w:szCs w:val="32"/>
        </w:rPr>
        <w:t>项目概述：保障纪念馆正常运行，用于馆舍水费、邮电费、电费等支出。</w:t>
      </w:r>
    </w:p>
    <w:p w:rsidR="00896557" w:rsidRDefault="00896557" w:rsidP="00D94C1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）立项依据：《博物馆条例》、《中华人民共和国公共文化服务保障法》。</w:t>
      </w:r>
    </w:p>
    <w:p w:rsidR="00896557" w:rsidRDefault="00896557" w:rsidP="00D94C1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）实施主体：淮北市刘开渠纪念馆。</w:t>
      </w:r>
    </w:p>
    <w:p w:rsidR="00896557" w:rsidRDefault="00896557" w:rsidP="00D94C1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月至</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p>
    <w:p w:rsidR="00896557" w:rsidRDefault="00896557" w:rsidP="00D94C1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）项目内容：保障纪念馆日常电费、水费、邮电费等支出；</w:t>
      </w:r>
      <w:r w:rsidR="00B73083" w:rsidRPr="00B73083">
        <w:rPr>
          <w:rFonts w:ascii="TimesNewRoman" w:eastAsia="仿宋_GB2312" w:hAnsi="TimesNewRoman" w:cs="TimesNewRoman" w:hint="eastAsia"/>
          <w:kern w:val="0"/>
          <w:sz w:val="32"/>
          <w:szCs w:val="32"/>
        </w:rPr>
        <w:t>保障单位正常运转，完成免费开放工作任务</w:t>
      </w:r>
      <w:r>
        <w:rPr>
          <w:rFonts w:ascii="TimesNewRoman" w:eastAsia="仿宋_GB2312" w:hAnsi="TimesNewRoman" w:cs="TimesNewRoman" w:hint="eastAsia"/>
          <w:kern w:val="0"/>
          <w:sz w:val="32"/>
          <w:szCs w:val="32"/>
        </w:rPr>
        <w:t>。</w:t>
      </w:r>
    </w:p>
    <w:p w:rsidR="00896557" w:rsidRDefault="00896557" w:rsidP="00D94C1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8</w:t>
      </w:r>
      <w:r>
        <w:rPr>
          <w:rFonts w:ascii="TimesNewRoman" w:eastAsia="仿宋_GB2312" w:hAnsi="TimesNewRoman" w:cs="TimesNewRoman" w:hint="eastAsia"/>
          <w:kern w:val="0"/>
          <w:sz w:val="32"/>
          <w:szCs w:val="32"/>
        </w:rPr>
        <w:t>万元。</w:t>
      </w:r>
    </w:p>
    <w:p w:rsidR="00896557" w:rsidRDefault="00896557" w:rsidP="0089655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p w:rsidR="00EE230B" w:rsidRDefault="00EE230B" w:rsidP="00896557">
      <w:pPr>
        <w:ind w:firstLineChars="200" w:firstLine="640"/>
        <w:rPr>
          <w:rFonts w:ascii="TimesNewRoman" w:eastAsia="仿宋_GB2312" w:hAnsi="TimesNewRoman" w:cs="TimesNewRoman"/>
          <w:kern w:val="0"/>
          <w:sz w:val="32"/>
          <w:szCs w:val="32"/>
        </w:rPr>
      </w:pPr>
    </w:p>
    <w:p w:rsidR="00EE230B" w:rsidRDefault="00EE230B" w:rsidP="00896557">
      <w:pPr>
        <w:ind w:firstLineChars="200" w:firstLine="640"/>
        <w:rPr>
          <w:rFonts w:ascii="TimesNewRoman" w:eastAsia="仿宋_GB2312" w:hAnsi="TimesNewRoman" w:cs="TimesNewRoman"/>
          <w:kern w:val="0"/>
          <w:sz w:val="32"/>
          <w:szCs w:val="32"/>
        </w:rPr>
      </w:pPr>
    </w:p>
    <w:p w:rsidR="00EE230B" w:rsidRDefault="00EE230B" w:rsidP="00896557">
      <w:pPr>
        <w:ind w:firstLineChars="200" w:firstLine="640"/>
        <w:rPr>
          <w:rFonts w:ascii="TimesNewRoman" w:eastAsia="仿宋_GB2312" w:hAnsi="TimesNewRoman" w:cs="TimesNewRoman"/>
          <w:kern w:val="0"/>
          <w:sz w:val="32"/>
          <w:szCs w:val="32"/>
        </w:rPr>
      </w:pPr>
    </w:p>
    <w:p w:rsidR="00EE230B" w:rsidRDefault="00EE230B" w:rsidP="00896557">
      <w:pPr>
        <w:ind w:firstLineChars="200" w:firstLine="640"/>
        <w:rPr>
          <w:rFonts w:ascii="TimesNewRoman" w:eastAsia="仿宋_GB2312" w:hAnsi="TimesNewRoman" w:cs="TimesNewRoman"/>
          <w:kern w:val="0"/>
          <w:sz w:val="32"/>
          <w:szCs w:val="32"/>
        </w:rPr>
      </w:pPr>
    </w:p>
    <w:tbl>
      <w:tblPr>
        <w:tblW w:w="8754" w:type="dxa"/>
        <w:tblInd w:w="93" w:type="dxa"/>
        <w:tblLook w:val="04A0" w:firstRow="1" w:lastRow="0" w:firstColumn="1" w:lastColumn="0" w:noHBand="0" w:noVBand="1"/>
      </w:tblPr>
      <w:tblGrid>
        <w:gridCol w:w="576"/>
        <w:gridCol w:w="576"/>
        <w:gridCol w:w="645"/>
        <w:gridCol w:w="864"/>
        <w:gridCol w:w="2796"/>
        <w:gridCol w:w="2412"/>
        <w:gridCol w:w="885"/>
      </w:tblGrid>
      <w:tr w:rsidR="00EE230B" w:rsidRPr="00EE230B" w:rsidTr="00EE230B">
        <w:trPr>
          <w:trHeight w:val="339"/>
        </w:trPr>
        <w:tc>
          <w:tcPr>
            <w:tcW w:w="8754" w:type="dxa"/>
            <w:gridSpan w:val="7"/>
            <w:tcBorders>
              <w:top w:val="nil"/>
              <w:left w:val="nil"/>
              <w:bottom w:val="nil"/>
              <w:right w:val="nil"/>
            </w:tcBorders>
            <w:shd w:val="clear" w:color="auto" w:fill="auto"/>
            <w:noWrap/>
            <w:vAlign w:val="center"/>
            <w:hideMark/>
          </w:tcPr>
          <w:p w:rsidR="00EE230B" w:rsidRPr="00EE230B" w:rsidRDefault="00EE230B" w:rsidP="00EE230B">
            <w:pPr>
              <w:widowControl/>
              <w:jc w:val="left"/>
              <w:rPr>
                <w:rFonts w:ascii="宋体" w:eastAsia="宋体" w:hAnsi="宋体" w:cs="宋体"/>
                <w:color w:val="000000"/>
                <w:kern w:val="0"/>
                <w:sz w:val="22"/>
              </w:rPr>
            </w:pPr>
          </w:p>
        </w:tc>
      </w:tr>
      <w:tr w:rsidR="00EE230B" w:rsidRPr="00EE230B" w:rsidTr="00EE230B">
        <w:trPr>
          <w:trHeight w:val="500"/>
        </w:trPr>
        <w:tc>
          <w:tcPr>
            <w:tcW w:w="8754" w:type="dxa"/>
            <w:gridSpan w:val="7"/>
            <w:tcBorders>
              <w:top w:val="nil"/>
              <w:left w:val="nil"/>
              <w:bottom w:val="nil"/>
              <w:right w:val="nil"/>
            </w:tcBorders>
            <w:shd w:val="clear" w:color="auto" w:fill="auto"/>
            <w:vAlign w:val="center"/>
            <w:hideMark/>
          </w:tcPr>
          <w:p w:rsidR="002A3257" w:rsidRDefault="002A3257" w:rsidP="002A3257">
            <w:pPr>
              <w:widowControl/>
              <w:ind w:firstLineChars="900" w:firstLine="2891"/>
              <w:rPr>
                <w:rFonts w:ascii="宋体" w:eastAsia="宋体" w:hAnsi="宋体" w:cs="宋体"/>
                <w:b/>
                <w:bCs/>
                <w:color w:val="000000"/>
                <w:kern w:val="0"/>
                <w:sz w:val="32"/>
                <w:szCs w:val="32"/>
              </w:rPr>
            </w:pPr>
          </w:p>
          <w:p w:rsidR="002A3257" w:rsidRDefault="002A3257" w:rsidP="002A3257">
            <w:pPr>
              <w:widowControl/>
              <w:ind w:firstLineChars="900" w:firstLine="2891"/>
              <w:rPr>
                <w:rFonts w:ascii="宋体" w:eastAsia="宋体" w:hAnsi="宋体" w:cs="宋体"/>
                <w:b/>
                <w:bCs/>
                <w:color w:val="000000"/>
                <w:kern w:val="0"/>
                <w:sz w:val="32"/>
                <w:szCs w:val="32"/>
              </w:rPr>
            </w:pPr>
          </w:p>
          <w:p w:rsidR="002A3257" w:rsidRDefault="002A3257" w:rsidP="002A3257">
            <w:pPr>
              <w:widowControl/>
              <w:ind w:firstLineChars="900" w:firstLine="2891"/>
              <w:rPr>
                <w:rFonts w:ascii="宋体" w:eastAsia="宋体" w:hAnsi="宋体" w:cs="宋体"/>
                <w:b/>
                <w:bCs/>
                <w:color w:val="000000"/>
                <w:kern w:val="0"/>
                <w:sz w:val="32"/>
                <w:szCs w:val="32"/>
              </w:rPr>
            </w:pPr>
          </w:p>
          <w:p w:rsidR="002A3257" w:rsidRDefault="002A3257" w:rsidP="002A3257">
            <w:pPr>
              <w:widowControl/>
              <w:ind w:firstLineChars="900" w:firstLine="2891"/>
              <w:rPr>
                <w:rFonts w:ascii="宋体" w:eastAsia="宋体" w:hAnsi="宋体" w:cs="宋体"/>
                <w:b/>
                <w:bCs/>
                <w:color w:val="000000"/>
                <w:kern w:val="0"/>
                <w:sz w:val="32"/>
                <w:szCs w:val="32"/>
              </w:rPr>
            </w:pPr>
          </w:p>
          <w:p w:rsidR="002A3257" w:rsidRDefault="002A3257" w:rsidP="002A3257">
            <w:pPr>
              <w:widowControl/>
              <w:ind w:firstLineChars="900" w:firstLine="2891"/>
              <w:rPr>
                <w:rFonts w:ascii="宋体" w:eastAsia="宋体" w:hAnsi="宋体" w:cs="宋体"/>
                <w:b/>
                <w:bCs/>
                <w:color w:val="000000"/>
                <w:kern w:val="0"/>
                <w:sz w:val="32"/>
                <w:szCs w:val="32"/>
              </w:rPr>
            </w:pPr>
          </w:p>
          <w:p w:rsidR="002A3257" w:rsidRDefault="002A3257" w:rsidP="002A3257">
            <w:pPr>
              <w:widowControl/>
              <w:ind w:firstLineChars="900" w:firstLine="2891"/>
              <w:rPr>
                <w:rFonts w:ascii="宋体" w:eastAsia="宋体" w:hAnsi="宋体" w:cs="宋体"/>
                <w:b/>
                <w:bCs/>
                <w:color w:val="000000"/>
                <w:kern w:val="0"/>
                <w:sz w:val="32"/>
                <w:szCs w:val="32"/>
              </w:rPr>
            </w:pPr>
          </w:p>
          <w:p w:rsidR="002A3257" w:rsidRDefault="002A3257" w:rsidP="002A3257">
            <w:pPr>
              <w:widowControl/>
              <w:ind w:firstLineChars="900" w:firstLine="2891"/>
              <w:rPr>
                <w:rFonts w:ascii="宋体" w:eastAsia="宋体" w:hAnsi="宋体" w:cs="宋体"/>
                <w:b/>
                <w:bCs/>
                <w:color w:val="000000"/>
                <w:kern w:val="0"/>
                <w:sz w:val="32"/>
                <w:szCs w:val="32"/>
              </w:rPr>
            </w:pPr>
          </w:p>
          <w:p w:rsidR="0027793F" w:rsidRDefault="0027793F" w:rsidP="002A3257">
            <w:pPr>
              <w:widowControl/>
              <w:ind w:firstLineChars="800" w:firstLine="2570"/>
              <w:rPr>
                <w:rFonts w:ascii="宋体" w:eastAsia="宋体" w:hAnsi="宋体" w:cs="宋体"/>
                <w:b/>
                <w:bCs/>
                <w:color w:val="000000"/>
                <w:kern w:val="0"/>
                <w:sz w:val="32"/>
                <w:szCs w:val="32"/>
              </w:rPr>
            </w:pPr>
          </w:p>
          <w:p w:rsidR="0027793F" w:rsidRDefault="0027793F" w:rsidP="002A3257">
            <w:pPr>
              <w:widowControl/>
              <w:ind w:firstLineChars="800" w:firstLine="2570"/>
              <w:rPr>
                <w:rFonts w:ascii="宋体" w:eastAsia="宋体" w:hAnsi="宋体" w:cs="宋体"/>
                <w:b/>
                <w:bCs/>
                <w:color w:val="000000"/>
                <w:kern w:val="0"/>
                <w:sz w:val="32"/>
                <w:szCs w:val="32"/>
              </w:rPr>
            </w:pPr>
          </w:p>
          <w:p w:rsidR="0027793F" w:rsidRDefault="0027793F" w:rsidP="002A3257">
            <w:pPr>
              <w:widowControl/>
              <w:ind w:firstLineChars="800" w:firstLine="2570"/>
              <w:rPr>
                <w:rFonts w:ascii="宋体" w:eastAsia="宋体" w:hAnsi="宋体" w:cs="宋体"/>
                <w:b/>
                <w:bCs/>
                <w:color w:val="000000"/>
                <w:kern w:val="0"/>
                <w:sz w:val="32"/>
                <w:szCs w:val="32"/>
              </w:rPr>
            </w:pPr>
          </w:p>
          <w:p w:rsidR="0027793F" w:rsidRDefault="0027793F" w:rsidP="002A3257">
            <w:pPr>
              <w:widowControl/>
              <w:ind w:firstLineChars="800" w:firstLine="2570"/>
              <w:rPr>
                <w:rFonts w:ascii="宋体" w:eastAsia="宋体" w:hAnsi="宋体" w:cs="宋体"/>
                <w:b/>
                <w:bCs/>
                <w:color w:val="000000"/>
                <w:kern w:val="0"/>
                <w:sz w:val="32"/>
                <w:szCs w:val="32"/>
              </w:rPr>
            </w:pPr>
          </w:p>
          <w:p w:rsidR="00EE230B" w:rsidRPr="00EE230B" w:rsidRDefault="00EE230B" w:rsidP="002A3257">
            <w:pPr>
              <w:widowControl/>
              <w:ind w:firstLineChars="800" w:firstLine="2570"/>
              <w:rPr>
                <w:rFonts w:ascii="宋体" w:eastAsia="宋体" w:hAnsi="宋体" w:cs="宋体"/>
                <w:b/>
                <w:bCs/>
                <w:color w:val="000000"/>
                <w:kern w:val="0"/>
                <w:sz w:val="32"/>
                <w:szCs w:val="32"/>
              </w:rPr>
            </w:pPr>
            <w:r w:rsidRPr="00EE230B">
              <w:rPr>
                <w:rFonts w:ascii="宋体" w:eastAsia="宋体" w:hAnsi="宋体" w:cs="宋体" w:hint="eastAsia"/>
                <w:b/>
                <w:bCs/>
                <w:color w:val="000000"/>
                <w:kern w:val="0"/>
                <w:sz w:val="32"/>
                <w:szCs w:val="32"/>
              </w:rPr>
              <w:t>项目支出绩效目标表</w:t>
            </w:r>
          </w:p>
        </w:tc>
      </w:tr>
      <w:tr w:rsidR="00EE230B" w:rsidRPr="00EE230B" w:rsidTr="00EE230B">
        <w:trPr>
          <w:trHeight w:val="500"/>
        </w:trPr>
        <w:tc>
          <w:tcPr>
            <w:tcW w:w="8754" w:type="dxa"/>
            <w:gridSpan w:val="7"/>
            <w:tcBorders>
              <w:top w:val="nil"/>
              <w:left w:val="nil"/>
              <w:bottom w:val="nil"/>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lastRenderedPageBreak/>
              <w:t xml:space="preserve"> （2025年度）                                </w:t>
            </w:r>
          </w:p>
        </w:tc>
      </w:tr>
      <w:tr w:rsidR="00EE230B" w:rsidRPr="00EE230B" w:rsidTr="00EE230B">
        <w:trPr>
          <w:trHeight w:val="500"/>
        </w:trPr>
        <w:tc>
          <w:tcPr>
            <w:tcW w:w="1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项目名称</w:t>
            </w:r>
          </w:p>
        </w:tc>
        <w:tc>
          <w:tcPr>
            <w:tcW w:w="69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18"/>
                <w:szCs w:val="18"/>
              </w:rPr>
            </w:pPr>
            <w:r w:rsidRPr="00EE230B">
              <w:rPr>
                <w:rFonts w:ascii="宋体" w:eastAsia="宋体" w:hAnsi="宋体" w:cs="宋体" w:hint="eastAsia"/>
                <w:color w:val="000000"/>
                <w:kern w:val="0"/>
                <w:sz w:val="18"/>
                <w:szCs w:val="18"/>
              </w:rPr>
              <w:t>运行经费</w:t>
            </w:r>
          </w:p>
        </w:tc>
      </w:tr>
      <w:tr w:rsidR="00EE230B" w:rsidRPr="00EE230B" w:rsidTr="00EE230B">
        <w:trPr>
          <w:trHeight w:val="500"/>
        </w:trPr>
        <w:tc>
          <w:tcPr>
            <w:tcW w:w="1797" w:type="dxa"/>
            <w:gridSpan w:val="3"/>
            <w:tcBorders>
              <w:top w:val="nil"/>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主管部门及代码</w:t>
            </w:r>
          </w:p>
        </w:tc>
        <w:tc>
          <w:tcPr>
            <w:tcW w:w="3660" w:type="dxa"/>
            <w:gridSpan w:val="2"/>
            <w:tcBorders>
              <w:top w:val="nil"/>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18"/>
                <w:szCs w:val="18"/>
              </w:rPr>
            </w:pPr>
            <w:r w:rsidRPr="00EE230B">
              <w:rPr>
                <w:rFonts w:ascii="宋体" w:eastAsia="宋体" w:hAnsi="宋体" w:cs="宋体" w:hint="eastAsia"/>
                <w:color w:val="000000"/>
                <w:kern w:val="0"/>
                <w:sz w:val="18"/>
                <w:szCs w:val="18"/>
              </w:rPr>
              <w:t>[077]淮北市文化旅游体育局</w:t>
            </w:r>
          </w:p>
        </w:tc>
        <w:tc>
          <w:tcPr>
            <w:tcW w:w="2412" w:type="dxa"/>
            <w:tcBorders>
              <w:top w:val="nil"/>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实施单位</w:t>
            </w:r>
          </w:p>
        </w:tc>
        <w:tc>
          <w:tcPr>
            <w:tcW w:w="885" w:type="dxa"/>
            <w:tcBorders>
              <w:top w:val="nil"/>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18"/>
                <w:szCs w:val="18"/>
              </w:rPr>
            </w:pPr>
            <w:r w:rsidRPr="00EE230B">
              <w:rPr>
                <w:rFonts w:ascii="宋体" w:eastAsia="宋体" w:hAnsi="宋体" w:cs="宋体" w:hint="eastAsia"/>
                <w:color w:val="000000"/>
                <w:kern w:val="0"/>
                <w:sz w:val="18"/>
                <w:szCs w:val="18"/>
              </w:rPr>
              <w:t>淮北市刘开渠纪念馆</w:t>
            </w:r>
          </w:p>
        </w:tc>
      </w:tr>
      <w:tr w:rsidR="00EE230B" w:rsidRPr="00EE230B" w:rsidTr="00EE230B">
        <w:trPr>
          <w:trHeight w:val="500"/>
        </w:trPr>
        <w:tc>
          <w:tcPr>
            <w:tcW w:w="1797" w:type="dxa"/>
            <w:gridSpan w:val="3"/>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项目来源</w:t>
            </w:r>
          </w:p>
        </w:tc>
        <w:tc>
          <w:tcPr>
            <w:tcW w:w="3660"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18"/>
                <w:szCs w:val="18"/>
              </w:rPr>
            </w:pPr>
            <w:r w:rsidRPr="00EE230B">
              <w:rPr>
                <w:rFonts w:ascii="宋体" w:eastAsia="宋体" w:hAnsi="宋体" w:cs="宋体" w:hint="eastAsia"/>
                <w:color w:val="000000"/>
                <w:kern w:val="0"/>
                <w:sz w:val="18"/>
                <w:szCs w:val="18"/>
              </w:rPr>
              <w:t>本级申报项目</w:t>
            </w:r>
          </w:p>
        </w:tc>
        <w:tc>
          <w:tcPr>
            <w:tcW w:w="2412"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项目期</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18"/>
                <w:szCs w:val="18"/>
              </w:rPr>
            </w:pPr>
            <w:r w:rsidRPr="00EE230B">
              <w:rPr>
                <w:rFonts w:ascii="宋体" w:eastAsia="宋体" w:hAnsi="宋体" w:cs="宋体" w:hint="eastAsia"/>
                <w:color w:val="000000"/>
                <w:kern w:val="0"/>
                <w:sz w:val="18"/>
                <w:szCs w:val="18"/>
              </w:rPr>
              <w:t>1年</w:t>
            </w:r>
          </w:p>
        </w:tc>
      </w:tr>
      <w:tr w:rsidR="00EE230B" w:rsidRPr="00EE230B" w:rsidTr="00EE230B">
        <w:trPr>
          <w:trHeight w:val="500"/>
        </w:trPr>
        <w:tc>
          <w:tcPr>
            <w:tcW w:w="1797"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项目资金</w:t>
            </w:r>
            <w:r w:rsidRPr="00EE230B">
              <w:rPr>
                <w:rFonts w:ascii="宋体" w:eastAsia="宋体" w:hAnsi="宋体" w:cs="宋体" w:hint="eastAsia"/>
                <w:color w:val="000000"/>
                <w:kern w:val="0"/>
                <w:sz w:val="20"/>
                <w:szCs w:val="20"/>
              </w:rPr>
              <w:br/>
              <w:t>（万元）</w:t>
            </w:r>
          </w:p>
        </w:tc>
        <w:tc>
          <w:tcPr>
            <w:tcW w:w="3660"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left"/>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 xml:space="preserve"> 年度资金总额：</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right"/>
              <w:rPr>
                <w:rFonts w:ascii="宋体" w:eastAsia="宋体" w:hAnsi="宋体" w:cs="宋体"/>
                <w:color w:val="000000"/>
                <w:kern w:val="0"/>
                <w:sz w:val="18"/>
                <w:szCs w:val="18"/>
              </w:rPr>
            </w:pPr>
            <w:r w:rsidRPr="00EE230B">
              <w:rPr>
                <w:rFonts w:ascii="宋体" w:eastAsia="宋体" w:hAnsi="宋体" w:cs="宋体" w:hint="eastAsia"/>
                <w:color w:val="000000"/>
                <w:kern w:val="0"/>
                <w:sz w:val="18"/>
                <w:szCs w:val="18"/>
              </w:rPr>
              <w:t xml:space="preserve">      8.00 </w:t>
            </w:r>
          </w:p>
        </w:tc>
      </w:tr>
      <w:tr w:rsidR="00EE230B" w:rsidRPr="00EE230B" w:rsidTr="00EE230B">
        <w:trPr>
          <w:trHeight w:val="500"/>
        </w:trPr>
        <w:tc>
          <w:tcPr>
            <w:tcW w:w="1797" w:type="dxa"/>
            <w:gridSpan w:val="3"/>
            <w:vMerge/>
            <w:tcBorders>
              <w:top w:val="single" w:sz="4" w:space="0" w:color="000000"/>
              <w:left w:val="single" w:sz="4" w:space="0" w:color="000000"/>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3660"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left"/>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 xml:space="preserve">   其中：财政拨款</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right"/>
              <w:rPr>
                <w:rFonts w:ascii="宋体" w:eastAsia="宋体" w:hAnsi="宋体" w:cs="宋体"/>
                <w:color w:val="000000"/>
                <w:kern w:val="0"/>
                <w:sz w:val="18"/>
                <w:szCs w:val="18"/>
              </w:rPr>
            </w:pPr>
            <w:r w:rsidRPr="00EE230B">
              <w:rPr>
                <w:rFonts w:ascii="宋体" w:eastAsia="宋体" w:hAnsi="宋体" w:cs="宋体" w:hint="eastAsia"/>
                <w:color w:val="000000"/>
                <w:kern w:val="0"/>
                <w:sz w:val="18"/>
                <w:szCs w:val="18"/>
              </w:rPr>
              <w:t xml:space="preserve">      8.00 </w:t>
            </w:r>
          </w:p>
        </w:tc>
      </w:tr>
      <w:tr w:rsidR="00EE230B" w:rsidRPr="00EE230B" w:rsidTr="00EE230B">
        <w:trPr>
          <w:trHeight w:val="500"/>
        </w:trPr>
        <w:tc>
          <w:tcPr>
            <w:tcW w:w="1797" w:type="dxa"/>
            <w:gridSpan w:val="3"/>
            <w:vMerge/>
            <w:tcBorders>
              <w:top w:val="single" w:sz="4" w:space="0" w:color="000000"/>
              <w:left w:val="single" w:sz="4" w:space="0" w:color="000000"/>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3660"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left"/>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 xml:space="preserve">         上年结转</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18"/>
                <w:szCs w:val="18"/>
              </w:rPr>
            </w:pPr>
            <w:r w:rsidRPr="00EE230B">
              <w:rPr>
                <w:rFonts w:ascii="宋体" w:eastAsia="宋体" w:hAnsi="宋体" w:cs="宋体" w:hint="eastAsia"/>
                <w:color w:val="000000"/>
                <w:kern w:val="0"/>
                <w:sz w:val="18"/>
                <w:szCs w:val="18"/>
              </w:rPr>
              <w:t xml:space="preserve">      0.00 </w:t>
            </w:r>
          </w:p>
        </w:tc>
      </w:tr>
      <w:tr w:rsidR="00EE230B" w:rsidRPr="00EE230B" w:rsidTr="00EE230B">
        <w:trPr>
          <w:trHeight w:val="500"/>
        </w:trPr>
        <w:tc>
          <w:tcPr>
            <w:tcW w:w="1797" w:type="dxa"/>
            <w:gridSpan w:val="3"/>
            <w:vMerge/>
            <w:tcBorders>
              <w:top w:val="single" w:sz="4" w:space="0" w:color="000000"/>
              <w:left w:val="single" w:sz="4" w:space="0" w:color="000000"/>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3660"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left"/>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 xml:space="preserve">         其他资金</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right"/>
              <w:rPr>
                <w:rFonts w:ascii="宋体" w:eastAsia="宋体" w:hAnsi="宋体" w:cs="宋体"/>
                <w:color w:val="000000"/>
                <w:kern w:val="0"/>
                <w:sz w:val="18"/>
                <w:szCs w:val="18"/>
              </w:rPr>
            </w:pPr>
            <w:r w:rsidRPr="00EE230B">
              <w:rPr>
                <w:rFonts w:ascii="宋体" w:eastAsia="宋体" w:hAnsi="宋体" w:cs="宋体" w:hint="eastAsia"/>
                <w:color w:val="000000"/>
                <w:kern w:val="0"/>
                <w:sz w:val="18"/>
                <w:szCs w:val="18"/>
              </w:rPr>
              <w:t xml:space="preserve">      0.00 </w:t>
            </w:r>
          </w:p>
        </w:tc>
      </w:tr>
      <w:tr w:rsidR="00EE230B" w:rsidRPr="00EE230B" w:rsidTr="00EE230B">
        <w:trPr>
          <w:trHeight w:val="500"/>
        </w:trPr>
        <w:tc>
          <w:tcPr>
            <w:tcW w:w="57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年度</w:t>
            </w:r>
            <w:r w:rsidRPr="00EE230B">
              <w:rPr>
                <w:rFonts w:ascii="宋体" w:eastAsia="宋体" w:hAnsi="宋体" w:cs="宋体" w:hint="eastAsia"/>
                <w:color w:val="000000"/>
                <w:kern w:val="0"/>
                <w:sz w:val="20"/>
                <w:szCs w:val="20"/>
              </w:rPr>
              <w:br/>
              <w:t>目标</w:t>
            </w:r>
          </w:p>
        </w:tc>
        <w:tc>
          <w:tcPr>
            <w:tcW w:w="81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left"/>
              <w:rPr>
                <w:rFonts w:ascii="宋体" w:eastAsia="宋体" w:hAnsi="宋体" w:cs="宋体"/>
                <w:color w:val="000000"/>
                <w:kern w:val="0"/>
                <w:sz w:val="18"/>
                <w:szCs w:val="18"/>
              </w:rPr>
            </w:pPr>
            <w:r w:rsidRPr="00EE230B">
              <w:rPr>
                <w:rFonts w:ascii="宋体" w:eastAsia="宋体" w:hAnsi="宋体" w:cs="宋体" w:hint="eastAsia"/>
                <w:color w:val="000000"/>
                <w:kern w:val="0"/>
                <w:sz w:val="18"/>
                <w:szCs w:val="18"/>
              </w:rPr>
              <w:t>保障单位正常运转，完成免费开放工作任务</w:t>
            </w:r>
          </w:p>
        </w:tc>
      </w:tr>
      <w:tr w:rsidR="00EE230B" w:rsidRPr="00EE230B" w:rsidTr="00EE230B">
        <w:trPr>
          <w:trHeight w:val="50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绩</w:t>
            </w:r>
            <w:r w:rsidRPr="00EE230B">
              <w:rPr>
                <w:rFonts w:ascii="宋体" w:eastAsia="宋体" w:hAnsi="宋体" w:cs="宋体" w:hint="eastAsia"/>
                <w:color w:val="000000"/>
                <w:kern w:val="0"/>
                <w:sz w:val="20"/>
                <w:szCs w:val="20"/>
              </w:rPr>
              <w:br/>
              <w:t>效</w:t>
            </w:r>
            <w:r w:rsidRPr="00EE230B">
              <w:rPr>
                <w:rFonts w:ascii="宋体" w:eastAsia="宋体" w:hAnsi="宋体" w:cs="宋体" w:hint="eastAsia"/>
                <w:color w:val="000000"/>
                <w:kern w:val="0"/>
                <w:sz w:val="20"/>
                <w:szCs w:val="20"/>
              </w:rPr>
              <w:br/>
              <w:t>指</w:t>
            </w:r>
            <w:r w:rsidRPr="00EE230B">
              <w:rPr>
                <w:rFonts w:ascii="宋体" w:eastAsia="宋体" w:hAnsi="宋体" w:cs="宋体" w:hint="eastAsia"/>
                <w:color w:val="000000"/>
                <w:kern w:val="0"/>
                <w:sz w:val="20"/>
                <w:szCs w:val="20"/>
              </w:rPr>
              <w:br/>
              <w:t>标</w:t>
            </w:r>
          </w:p>
        </w:tc>
        <w:tc>
          <w:tcPr>
            <w:tcW w:w="576" w:type="dxa"/>
            <w:tcBorders>
              <w:top w:val="single" w:sz="4" w:space="0" w:color="000000"/>
              <w:left w:val="nil"/>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一级</w:t>
            </w:r>
            <w:r w:rsidRPr="00EE230B">
              <w:rPr>
                <w:rFonts w:ascii="宋体" w:eastAsia="宋体" w:hAnsi="宋体" w:cs="宋体" w:hint="eastAsia"/>
                <w:color w:val="000000"/>
                <w:kern w:val="0"/>
                <w:sz w:val="20"/>
                <w:szCs w:val="20"/>
              </w:rPr>
              <w:br/>
              <w:t>指标</w:t>
            </w:r>
          </w:p>
        </w:tc>
        <w:tc>
          <w:tcPr>
            <w:tcW w:w="1509"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二级指标</w:t>
            </w: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三级指标</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指标值</w:t>
            </w:r>
          </w:p>
        </w:tc>
      </w:tr>
      <w:tr w:rsidR="00EE230B" w:rsidRPr="00EE230B" w:rsidTr="00EE230B">
        <w:trPr>
          <w:trHeight w:val="5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576" w:type="dxa"/>
            <w:vMerge w:val="restart"/>
            <w:tcBorders>
              <w:top w:val="single" w:sz="4" w:space="0" w:color="000000"/>
              <w:left w:val="nil"/>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产出指标</w:t>
            </w:r>
          </w:p>
        </w:tc>
        <w:tc>
          <w:tcPr>
            <w:tcW w:w="1509"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数量指标</w:t>
            </w: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慰问刘开渠家属</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1次</w:t>
            </w:r>
          </w:p>
        </w:tc>
      </w:tr>
      <w:tr w:rsidR="00EE230B" w:rsidRPr="00EE230B" w:rsidTr="00EE230B">
        <w:trPr>
          <w:trHeight w:val="5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1509" w:type="dxa"/>
            <w:gridSpan w:val="2"/>
            <w:vMerge/>
            <w:tcBorders>
              <w:top w:val="single" w:sz="4" w:space="0" w:color="000000"/>
              <w:left w:val="single" w:sz="4" w:space="0" w:color="000000"/>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水费、电费、邮电费按月支付</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≤12月</w:t>
            </w:r>
          </w:p>
        </w:tc>
      </w:tr>
      <w:tr w:rsidR="00EE230B" w:rsidRPr="00EE230B" w:rsidTr="00EE230B">
        <w:trPr>
          <w:trHeight w:val="5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1509"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质量指标</w:t>
            </w: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保障各项基础设施顺利运行</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全年</w:t>
            </w:r>
          </w:p>
        </w:tc>
      </w:tr>
      <w:tr w:rsidR="00EE230B" w:rsidRPr="00EE230B" w:rsidTr="00EE230B">
        <w:trPr>
          <w:trHeight w:val="5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1509"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时效指标</w:t>
            </w: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项目完成时间</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2025年12月</w:t>
            </w:r>
          </w:p>
        </w:tc>
      </w:tr>
      <w:tr w:rsidR="00EE230B" w:rsidRPr="00EE230B" w:rsidTr="00EE230B">
        <w:trPr>
          <w:trHeight w:val="5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1509"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成本指标</w:t>
            </w: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项目金额</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8万</w:t>
            </w:r>
          </w:p>
        </w:tc>
      </w:tr>
      <w:tr w:rsidR="00EE230B" w:rsidRPr="00EE230B" w:rsidTr="00EE230B">
        <w:trPr>
          <w:trHeight w:val="5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576" w:type="dxa"/>
            <w:vMerge w:val="restart"/>
            <w:tcBorders>
              <w:top w:val="single" w:sz="4" w:space="0" w:color="000000"/>
              <w:left w:val="nil"/>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效益指标</w:t>
            </w:r>
          </w:p>
        </w:tc>
        <w:tc>
          <w:tcPr>
            <w:tcW w:w="1509"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经济效益指标</w:t>
            </w: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促进旅游经济发展</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有效促进</w:t>
            </w:r>
          </w:p>
        </w:tc>
      </w:tr>
      <w:tr w:rsidR="00EE230B" w:rsidRPr="00EE230B" w:rsidTr="00EE230B">
        <w:trPr>
          <w:trHeight w:val="5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1509"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社会效益指标</w:t>
            </w: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丰富群众文化生活，增强文化自信</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有效丰富和促进</w:t>
            </w:r>
          </w:p>
        </w:tc>
      </w:tr>
      <w:tr w:rsidR="00EE230B" w:rsidRPr="00EE230B" w:rsidTr="00EE230B">
        <w:trPr>
          <w:trHeight w:val="5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1509"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生态效益指标</w:t>
            </w: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对当地生态环境的影响</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无不良影响</w:t>
            </w:r>
          </w:p>
        </w:tc>
      </w:tr>
      <w:tr w:rsidR="00EE230B" w:rsidRPr="00EE230B" w:rsidTr="00EE230B">
        <w:trPr>
          <w:trHeight w:val="5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1509"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可持续影响指标</w:t>
            </w: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繁荣文化市场，满足人民群众精神文化需求</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长期</w:t>
            </w:r>
          </w:p>
        </w:tc>
      </w:tr>
      <w:tr w:rsidR="00EE230B" w:rsidRPr="00EE230B" w:rsidTr="00EE230B">
        <w:trPr>
          <w:trHeight w:val="5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E230B" w:rsidRPr="00EE230B" w:rsidRDefault="00EE230B" w:rsidP="00EE230B">
            <w:pPr>
              <w:widowControl/>
              <w:jc w:val="left"/>
              <w:rPr>
                <w:rFonts w:ascii="宋体" w:eastAsia="宋体" w:hAnsi="宋体" w:cs="宋体"/>
                <w:color w:val="000000"/>
                <w:kern w:val="0"/>
                <w:sz w:val="20"/>
                <w:szCs w:val="20"/>
              </w:rPr>
            </w:pPr>
          </w:p>
        </w:tc>
        <w:tc>
          <w:tcPr>
            <w:tcW w:w="576" w:type="dxa"/>
            <w:tcBorders>
              <w:top w:val="single" w:sz="4" w:space="0" w:color="000000"/>
              <w:left w:val="nil"/>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满意度指标</w:t>
            </w:r>
          </w:p>
        </w:tc>
        <w:tc>
          <w:tcPr>
            <w:tcW w:w="1509" w:type="dxa"/>
            <w:gridSpan w:val="2"/>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满意度指标</w:t>
            </w:r>
          </w:p>
        </w:tc>
        <w:tc>
          <w:tcPr>
            <w:tcW w:w="2796" w:type="dxa"/>
            <w:tcBorders>
              <w:top w:val="single" w:sz="4" w:space="0" w:color="000000"/>
              <w:left w:val="single" w:sz="4" w:space="0" w:color="000000"/>
              <w:bottom w:val="single" w:sz="4" w:space="0" w:color="000000"/>
              <w:right w:val="nil"/>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服务群众满意程度</w:t>
            </w:r>
          </w:p>
        </w:tc>
        <w:tc>
          <w:tcPr>
            <w:tcW w:w="32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230B" w:rsidRPr="00EE230B" w:rsidRDefault="00EE230B" w:rsidP="00EE230B">
            <w:pPr>
              <w:widowControl/>
              <w:jc w:val="center"/>
              <w:rPr>
                <w:rFonts w:ascii="宋体" w:eastAsia="宋体" w:hAnsi="宋体" w:cs="宋体"/>
                <w:color w:val="000000"/>
                <w:kern w:val="0"/>
                <w:sz w:val="20"/>
                <w:szCs w:val="20"/>
              </w:rPr>
            </w:pPr>
            <w:r w:rsidRPr="00EE230B">
              <w:rPr>
                <w:rFonts w:ascii="宋体" w:eastAsia="宋体" w:hAnsi="宋体" w:cs="宋体" w:hint="eastAsia"/>
                <w:color w:val="000000"/>
                <w:kern w:val="0"/>
                <w:sz w:val="20"/>
                <w:szCs w:val="20"/>
              </w:rPr>
              <w:t>≥95%</w:t>
            </w:r>
          </w:p>
        </w:tc>
      </w:tr>
    </w:tbl>
    <w:p w:rsidR="00AC1409" w:rsidRDefault="00AC1409" w:rsidP="00EE230B">
      <w:pPr>
        <w:ind w:firstLineChars="100" w:firstLine="32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、“博物馆纪念馆免费开放补助”项目。</w:t>
      </w:r>
    </w:p>
    <w:p w:rsidR="00AC1409" w:rsidRDefault="00AC1409" w:rsidP="00AC140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落实实行免费开放后完善基础设施建设和设备更新经费，落实增强接待能力、增设服务项目、改进服务手段、提升展陈和接待水平所需资金，落实人员培训经费，开展业务活动经费，确保我馆正常、高效运转。同时满足广大人民群众日益增长的精神文化需求，更好地履行我市公共文化服务窗口单位职能，完成省文化厅规定的公共文化场馆免费开放服务工作任务。</w:t>
      </w:r>
    </w:p>
    <w:p w:rsidR="00AC1409" w:rsidRDefault="00AC1409" w:rsidP="00AC140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）立项依据：《博物馆条例》（国务院令第</w:t>
      </w:r>
      <w:r>
        <w:rPr>
          <w:rFonts w:ascii="TimesNewRoman" w:eastAsia="仿宋_GB2312" w:hAnsi="TimesNewRoman" w:cs="TimesNewRoman" w:hint="eastAsia"/>
          <w:kern w:val="0"/>
          <w:sz w:val="32"/>
          <w:szCs w:val="32"/>
        </w:rPr>
        <w:t xml:space="preserve"> 659 </w:t>
      </w:r>
      <w:r>
        <w:rPr>
          <w:rFonts w:ascii="TimesNewRoman" w:eastAsia="仿宋_GB2312" w:hAnsi="TimesNewRoman" w:cs="TimesNewRoman" w:hint="eastAsia"/>
          <w:kern w:val="0"/>
          <w:sz w:val="32"/>
          <w:szCs w:val="32"/>
        </w:rPr>
        <w:t>号）、</w:t>
      </w: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《中共中央宣传部、财政部、文化部、国家文物局关于全国</w:t>
      </w: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博物馆、纪念馆免费开放的通知》（中宣发【</w:t>
      </w:r>
      <w:r>
        <w:rPr>
          <w:rFonts w:ascii="TimesNewRoman" w:eastAsia="仿宋_GB2312" w:hAnsi="TimesNewRoman" w:cs="TimesNewRoman" w:hint="eastAsia"/>
          <w:kern w:val="0"/>
          <w:sz w:val="32"/>
          <w:szCs w:val="32"/>
        </w:rPr>
        <w:t>2008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 xml:space="preserve">2 </w:t>
      </w:r>
      <w:r>
        <w:rPr>
          <w:rFonts w:ascii="TimesNewRoman" w:eastAsia="仿宋_GB2312" w:hAnsi="TimesNewRoman" w:cs="TimesNewRoman" w:hint="eastAsia"/>
          <w:kern w:val="0"/>
          <w:sz w:val="32"/>
          <w:szCs w:val="32"/>
        </w:rPr>
        <w:t>号）</w:t>
      </w:r>
    </w:p>
    <w:p w:rsidR="00AC1409" w:rsidRDefault="00AC1409" w:rsidP="00AC140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）实施主体：淮北市刘开渠纪念馆。</w:t>
      </w:r>
    </w:p>
    <w:p w:rsidR="00AC1409" w:rsidRDefault="00AC1409" w:rsidP="00AC140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月至</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p>
    <w:p w:rsidR="00AC1409" w:rsidRDefault="00AC1409" w:rsidP="00AC140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sidR="00B73083" w:rsidRPr="00B73083">
        <w:rPr>
          <w:rFonts w:ascii="TimesNewRoman" w:eastAsia="仿宋_GB2312" w:hAnsi="TimesNewRoman" w:cs="TimesNewRoman" w:hint="eastAsia"/>
          <w:kern w:val="0"/>
          <w:sz w:val="32"/>
          <w:szCs w:val="32"/>
        </w:rPr>
        <w:t>完善基础设施建设</w:t>
      </w:r>
      <w:r w:rsidR="00B73083" w:rsidRPr="00B73083">
        <w:rPr>
          <w:rFonts w:ascii="TimesNewRoman" w:eastAsia="仿宋_GB2312" w:hAnsi="TimesNewRoman" w:cs="TimesNewRoman" w:hint="eastAsia"/>
          <w:kern w:val="0"/>
          <w:sz w:val="32"/>
          <w:szCs w:val="32"/>
        </w:rPr>
        <w:t>,</w:t>
      </w:r>
      <w:r w:rsidR="00B73083" w:rsidRPr="00B73083">
        <w:rPr>
          <w:rFonts w:ascii="TimesNewRoman" w:eastAsia="仿宋_GB2312" w:hAnsi="TimesNewRoman" w:cs="TimesNewRoman" w:hint="eastAsia"/>
          <w:kern w:val="0"/>
          <w:sz w:val="32"/>
          <w:szCs w:val="32"/>
        </w:rPr>
        <w:t>提升展陈和接待水平、开展各类业务活动，举办各类展览，落实人员培训，提高人员素质，更好地履行我市公共文化服务窗口单位职能，完成省文化厅规定的公共文化场馆免费开放服务工作任务，切实做到文化为民、文化惠民。</w:t>
      </w:r>
    </w:p>
    <w:p w:rsidR="00AC1409" w:rsidRDefault="00AC1409" w:rsidP="00AC140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34</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 xml:space="preserve">  </w:t>
      </w:r>
    </w:p>
    <w:p w:rsidR="00AC1409" w:rsidRDefault="00AC1409" w:rsidP="00AC140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p w:rsidR="00EE230B" w:rsidRDefault="00EE230B" w:rsidP="00AC1409">
      <w:pPr>
        <w:ind w:firstLineChars="200" w:firstLine="640"/>
        <w:rPr>
          <w:rFonts w:ascii="TimesNewRoman" w:eastAsia="仿宋_GB2312" w:hAnsi="TimesNewRoman" w:cs="TimesNewRoman"/>
          <w:kern w:val="0"/>
          <w:sz w:val="32"/>
          <w:szCs w:val="32"/>
        </w:rPr>
      </w:pPr>
    </w:p>
    <w:p w:rsidR="00EE230B" w:rsidRDefault="00EE230B" w:rsidP="00AC1409">
      <w:pPr>
        <w:ind w:firstLineChars="200" w:firstLine="640"/>
        <w:rPr>
          <w:rFonts w:ascii="TimesNewRoman" w:eastAsia="仿宋_GB2312" w:hAnsi="TimesNewRoman" w:cs="TimesNewRoman"/>
          <w:kern w:val="0"/>
          <w:sz w:val="32"/>
          <w:szCs w:val="32"/>
        </w:rPr>
      </w:pPr>
    </w:p>
    <w:p w:rsidR="00EE230B" w:rsidRDefault="00EE230B" w:rsidP="00AC1409">
      <w:pPr>
        <w:ind w:firstLineChars="200" w:firstLine="640"/>
        <w:rPr>
          <w:rFonts w:ascii="TimesNewRoman" w:eastAsia="仿宋_GB2312" w:hAnsi="TimesNewRoman" w:cs="TimesNewRoman"/>
          <w:kern w:val="0"/>
          <w:sz w:val="32"/>
          <w:szCs w:val="32"/>
        </w:rPr>
      </w:pPr>
    </w:p>
    <w:p w:rsidR="00EE230B" w:rsidRDefault="00EE230B" w:rsidP="00AC1409">
      <w:pPr>
        <w:ind w:firstLineChars="200" w:firstLine="640"/>
        <w:rPr>
          <w:rFonts w:ascii="TimesNewRoman" w:eastAsia="仿宋_GB2312" w:hAnsi="TimesNewRoman" w:cs="TimesNewRoman"/>
          <w:kern w:val="0"/>
          <w:sz w:val="32"/>
          <w:szCs w:val="32"/>
        </w:rPr>
      </w:pPr>
    </w:p>
    <w:p w:rsidR="00EE230B" w:rsidRDefault="00EE230B" w:rsidP="00AC1409">
      <w:pPr>
        <w:ind w:firstLineChars="200" w:firstLine="640"/>
        <w:rPr>
          <w:rFonts w:ascii="TimesNewRoman" w:eastAsia="仿宋_GB2312" w:hAnsi="TimesNewRoman" w:cs="TimesNewRoman"/>
          <w:kern w:val="0"/>
          <w:sz w:val="32"/>
          <w:szCs w:val="32"/>
        </w:rPr>
      </w:pPr>
    </w:p>
    <w:p w:rsidR="00EE230B" w:rsidRDefault="00EE230B" w:rsidP="00AC1409">
      <w:pPr>
        <w:ind w:firstLineChars="200" w:firstLine="640"/>
        <w:rPr>
          <w:rFonts w:ascii="TimesNewRoman" w:eastAsia="仿宋_GB2312" w:hAnsi="TimesNewRoman" w:cs="TimesNewRoman"/>
          <w:kern w:val="0"/>
          <w:sz w:val="32"/>
          <w:szCs w:val="32"/>
        </w:rPr>
      </w:pPr>
    </w:p>
    <w:tbl>
      <w:tblPr>
        <w:tblW w:w="10035" w:type="dxa"/>
        <w:tblInd w:w="93" w:type="dxa"/>
        <w:tblLook w:val="04A0" w:firstRow="1" w:lastRow="0" w:firstColumn="1" w:lastColumn="0" w:noHBand="0" w:noVBand="1"/>
      </w:tblPr>
      <w:tblGrid>
        <w:gridCol w:w="576"/>
        <w:gridCol w:w="576"/>
        <w:gridCol w:w="732"/>
        <w:gridCol w:w="863"/>
        <w:gridCol w:w="3139"/>
        <w:gridCol w:w="2410"/>
        <w:gridCol w:w="1739"/>
      </w:tblGrid>
      <w:tr w:rsidR="00EF650E" w:rsidRPr="00EF650E" w:rsidTr="00EF650E">
        <w:trPr>
          <w:trHeight w:val="300"/>
        </w:trPr>
        <w:tc>
          <w:tcPr>
            <w:tcW w:w="10035" w:type="dxa"/>
            <w:gridSpan w:val="7"/>
            <w:tcBorders>
              <w:top w:val="nil"/>
              <w:left w:val="nil"/>
              <w:bottom w:val="nil"/>
              <w:right w:val="nil"/>
            </w:tcBorders>
            <w:shd w:val="clear" w:color="auto" w:fill="auto"/>
            <w:vAlign w:val="center"/>
            <w:hideMark/>
          </w:tcPr>
          <w:p w:rsidR="00EF650E" w:rsidRPr="00EF650E" w:rsidRDefault="00EF650E" w:rsidP="00EF650E">
            <w:pPr>
              <w:widowControl/>
              <w:jc w:val="center"/>
              <w:rPr>
                <w:rFonts w:ascii="宋体" w:eastAsia="宋体" w:hAnsi="宋体" w:cs="宋体"/>
                <w:b/>
                <w:bCs/>
                <w:color w:val="000000"/>
                <w:kern w:val="0"/>
                <w:sz w:val="32"/>
                <w:szCs w:val="32"/>
              </w:rPr>
            </w:pPr>
            <w:r w:rsidRPr="00EF650E">
              <w:rPr>
                <w:rFonts w:ascii="宋体" w:eastAsia="宋体" w:hAnsi="宋体" w:cs="宋体" w:hint="eastAsia"/>
                <w:b/>
                <w:bCs/>
                <w:color w:val="000000"/>
                <w:kern w:val="0"/>
                <w:sz w:val="32"/>
                <w:szCs w:val="32"/>
              </w:rPr>
              <w:t>项目支出绩效目标表</w:t>
            </w:r>
          </w:p>
        </w:tc>
      </w:tr>
      <w:tr w:rsidR="00EF650E" w:rsidRPr="00EF650E" w:rsidTr="00EF650E">
        <w:trPr>
          <w:trHeight w:val="300"/>
        </w:trPr>
        <w:tc>
          <w:tcPr>
            <w:tcW w:w="10035" w:type="dxa"/>
            <w:gridSpan w:val="7"/>
            <w:tcBorders>
              <w:top w:val="nil"/>
              <w:left w:val="nil"/>
              <w:bottom w:val="nil"/>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 xml:space="preserve"> （2025年度）                                </w:t>
            </w:r>
          </w:p>
        </w:tc>
      </w:tr>
      <w:tr w:rsidR="00EF650E" w:rsidRPr="00EF650E" w:rsidTr="00EF650E">
        <w:trPr>
          <w:trHeight w:val="300"/>
        </w:trPr>
        <w:tc>
          <w:tcPr>
            <w:tcW w:w="1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项目名称</w:t>
            </w:r>
          </w:p>
        </w:tc>
        <w:tc>
          <w:tcPr>
            <w:tcW w:w="81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18"/>
                <w:szCs w:val="18"/>
              </w:rPr>
            </w:pPr>
            <w:r w:rsidRPr="00EF650E">
              <w:rPr>
                <w:rFonts w:ascii="宋体" w:eastAsia="宋体" w:hAnsi="宋体" w:cs="宋体" w:hint="eastAsia"/>
                <w:color w:val="000000"/>
                <w:kern w:val="0"/>
                <w:sz w:val="18"/>
                <w:szCs w:val="18"/>
              </w:rPr>
              <w:t>博物馆纪念馆免费开放补助资金</w:t>
            </w:r>
          </w:p>
        </w:tc>
      </w:tr>
      <w:tr w:rsidR="00EF650E" w:rsidRPr="00EF650E" w:rsidTr="00EF650E">
        <w:trPr>
          <w:trHeight w:val="300"/>
        </w:trPr>
        <w:tc>
          <w:tcPr>
            <w:tcW w:w="1884" w:type="dxa"/>
            <w:gridSpan w:val="3"/>
            <w:tcBorders>
              <w:top w:val="nil"/>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主管部门及代码</w:t>
            </w:r>
          </w:p>
        </w:tc>
        <w:tc>
          <w:tcPr>
            <w:tcW w:w="4002" w:type="dxa"/>
            <w:gridSpan w:val="2"/>
            <w:tcBorders>
              <w:top w:val="nil"/>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18"/>
                <w:szCs w:val="18"/>
              </w:rPr>
            </w:pPr>
            <w:r w:rsidRPr="00EF650E">
              <w:rPr>
                <w:rFonts w:ascii="宋体" w:eastAsia="宋体" w:hAnsi="宋体" w:cs="宋体" w:hint="eastAsia"/>
                <w:color w:val="000000"/>
                <w:kern w:val="0"/>
                <w:sz w:val="18"/>
                <w:szCs w:val="18"/>
              </w:rPr>
              <w:t>[077]淮北市文化旅游体育局</w:t>
            </w:r>
          </w:p>
        </w:tc>
        <w:tc>
          <w:tcPr>
            <w:tcW w:w="2410" w:type="dxa"/>
            <w:tcBorders>
              <w:top w:val="nil"/>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实施单位</w:t>
            </w:r>
          </w:p>
        </w:tc>
        <w:tc>
          <w:tcPr>
            <w:tcW w:w="1739" w:type="dxa"/>
            <w:tcBorders>
              <w:top w:val="nil"/>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18"/>
                <w:szCs w:val="18"/>
              </w:rPr>
            </w:pPr>
            <w:r w:rsidRPr="00EF650E">
              <w:rPr>
                <w:rFonts w:ascii="宋体" w:eastAsia="宋体" w:hAnsi="宋体" w:cs="宋体" w:hint="eastAsia"/>
                <w:color w:val="000000"/>
                <w:kern w:val="0"/>
                <w:sz w:val="18"/>
                <w:szCs w:val="18"/>
              </w:rPr>
              <w:t>淮北市刘开渠纪念馆</w:t>
            </w:r>
          </w:p>
        </w:tc>
      </w:tr>
      <w:tr w:rsidR="00EF650E" w:rsidRPr="00EF650E" w:rsidTr="00EF650E">
        <w:trPr>
          <w:trHeight w:val="300"/>
        </w:trPr>
        <w:tc>
          <w:tcPr>
            <w:tcW w:w="1884" w:type="dxa"/>
            <w:gridSpan w:val="3"/>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项目来源</w:t>
            </w:r>
          </w:p>
        </w:tc>
        <w:tc>
          <w:tcPr>
            <w:tcW w:w="4002"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18"/>
                <w:szCs w:val="18"/>
              </w:rPr>
            </w:pPr>
            <w:r w:rsidRPr="00EF650E">
              <w:rPr>
                <w:rFonts w:ascii="宋体" w:eastAsia="宋体" w:hAnsi="宋体" w:cs="宋体" w:hint="eastAsia"/>
                <w:color w:val="000000"/>
                <w:kern w:val="0"/>
                <w:sz w:val="18"/>
                <w:szCs w:val="18"/>
              </w:rPr>
              <w:t>本级申报项目</w:t>
            </w:r>
          </w:p>
        </w:tc>
        <w:tc>
          <w:tcPr>
            <w:tcW w:w="2410"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项目期</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18"/>
                <w:szCs w:val="18"/>
              </w:rPr>
            </w:pPr>
            <w:r w:rsidRPr="00EF650E">
              <w:rPr>
                <w:rFonts w:ascii="宋体" w:eastAsia="宋体" w:hAnsi="宋体" w:cs="宋体" w:hint="eastAsia"/>
                <w:color w:val="000000"/>
                <w:kern w:val="0"/>
                <w:sz w:val="18"/>
                <w:szCs w:val="18"/>
              </w:rPr>
              <w:t>1年</w:t>
            </w:r>
          </w:p>
        </w:tc>
      </w:tr>
      <w:tr w:rsidR="00EF650E" w:rsidRPr="00EF650E" w:rsidTr="00EF650E">
        <w:trPr>
          <w:trHeight w:val="300"/>
        </w:trPr>
        <w:tc>
          <w:tcPr>
            <w:tcW w:w="1884"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项目资金</w:t>
            </w:r>
            <w:r w:rsidRPr="00EF650E">
              <w:rPr>
                <w:rFonts w:ascii="宋体" w:eastAsia="宋体" w:hAnsi="宋体" w:cs="宋体" w:hint="eastAsia"/>
                <w:color w:val="000000"/>
                <w:kern w:val="0"/>
                <w:sz w:val="20"/>
                <w:szCs w:val="20"/>
              </w:rPr>
              <w:br/>
              <w:t>（万元）</w:t>
            </w:r>
          </w:p>
        </w:tc>
        <w:tc>
          <w:tcPr>
            <w:tcW w:w="4002"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left"/>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 xml:space="preserve"> 年度资金总额：</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right"/>
              <w:rPr>
                <w:rFonts w:ascii="宋体" w:eastAsia="宋体" w:hAnsi="宋体" w:cs="宋体"/>
                <w:color w:val="000000"/>
                <w:kern w:val="0"/>
                <w:sz w:val="18"/>
                <w:szCs w:val="18"/>
              </w:rPr>
            </w:pPr>
            <w:r w:rsidRPr="00EF650E">
              <w:rPr>
                <w:rFonts w:ascii="宋体" w:eastAsia="宋体" w:hAnsi="宋体" w:cs="宋体" w:hint="eastAsia"/>
                <w:color w:val="000000"/>
                <w:kern w:val="0"/>
                <w:sz w:val="18"/>
                <w:szCs w:val="18"/>
              </w:rPr>
              <w:t xml:space="preserve">      34.00 </w:t>
            </w:r>
          </w:p>
        </w:tc>
      </w:tr>
      <w:tr w:rsidR="00EF650E" w:rsidRPr="00EF650E" w:rsidTr="00EF650E">
        <w:trPr>
          <w:trHeight w:val="300"/>
        </w:trPr>
        <w:tc>
          <w:tcPr>
            <w:tcW w:w="1884" w:type="dxa"/>
            <w:gridSpan w:val="3"/>
            <w:vMerge/>
            <w:tcBorders>
              <w:top w:val="single" w:sz="4" w:space="0" w:color="000000"/>
              <w:left w:val="single" w:sz="4" w:space="0" w:color="000000"/>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4002"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left"/>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 xml:space="preserve">   其中：财政拨款</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right"/>
              <w:rPr>
                <w:rFonts w:ascii="宋体" w:eastAsia="宋体" w:hAnsi="宋体" w:cs="宋体"/>
                <w:color w:val="000000"/>
                <w:kern w:val="0"/>
                <w:sz w:val="18"/>
                <w:szCs w:val="18"/>
              </w:rPr>
            </w:pPr>
            <w:r w:rsidRPr="00EF650E">
              <w:rPr>
                <w:rFonts w:ascii="宋体" w:eastAsia="宋体" w:hAnsi="宋体" w:cs="宋体" w:hint="eastAsia"/>
                <w:color w:val="000000"/>
                <w:kern w:val="0"/>
                <w:sz w:val="18"/>
                <w:szCs w:val="18"/>
              </w:rPr>
              <w:t xml:space="preserve">      34.00 </w:t>
            </w:r>
          </w:p>
        </w:tc>
      </w:tr>
      <w:tr w:rsidR="00EF650E" w:rsidRPr="00EF650E" w:rsidTr="00EF650E">
        <w:trPr>
          <w:trHeight w:val="300"/>
        </w:trPr>
        <w:tc>
          <w:tcPr>
            <w:tcW w:w="1884" w:type="dxa"/>
            <w:gridSpan w:val="3"/>
            <w:vMerge/>
            <w:tcBorders>
              <w:top w:val="single" w:sz="4" w:space="0" w:color="000000"/>
              <w:left w:val="single" w:sz="4" w:space="0" w:color="000000"/>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4002"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left"/>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 xml:space="preserve">         上年结转</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18"/>
                <w:szCs w:val="18"/>
              </w:rPr>
            </w:pPr>
            <w:r w:rsidRPr="00EF650E">
              <w:rPr>
                <w:rFonts w:ascii="宋体" w:eastAsia="宋体" w:hAnsi="宋体" w:cs="宋体" w:hint="eastAsia"/>
                <w:color w:val="000000"/>
                <w:kern w:val="0"/>
                <w:sz w:val="18"/>
                <w:szCs w:val="18"/>
              </w:rPr>
              <w:t xml:space="preserve">      0.00 </w:t>
            </w:r>
          </w:p>
        </w:tc>
      </w:tr>
      <w:tr w:rsidR="00EF650E" w:rsidRPr="00EF650E" w:rsidTr="00EF650E">
        <w:trPr>
          <w:trHeight w:val="300"/>
        </w:trPr>
        <w:tc>
          <w:tcPr>
            <w:tcW w:w="1884" w:type="dxa"/>
            <w:gridSpan w:val="3"/>
            <w:vMerge/>
            <w:tcBorders>
              <w:top w:val="single" w:sz="4" w:space="0" w:color="000000"/>
              <w:left w:val="single" w:sz="4" w:space="0" w:color="000000"/>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4002"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left"/>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 xml:space="preserve">         其他资金</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right"/>
              <w:rPr>
                <w:rFonts w:ascii="宋体" w:eastAsia="宋体" w:hAnsi="宋体" w:cs="宋体"/>
                <w:color w:val="000000"/>
                <w:kern w:val="0"/>
                <w:sz w:val="18"/>
                <w:szCs w:val="18"/>
              </w:rPr>
            </w:pPr>
            <w:r w:rsidRPr="00EF650E">
              <w:rPr>
                <w:rFonts w:ascii="宋体" w:eastAsia="宋体" w:hAnsi="宋体" w:cs="宋体" w:hint="eastAsia"/>
                <w:color w:val="000000"/>
                <w:kern w:val="0"/>
                <w:sz w:val="18"/>
                <w:szCs w:val="18"/>
              </w:rPr>
              <w:t xml:space="preserve">      0.00 </w:t>
            </w:r>
          </w:p>
        </w:tc>
      </w:tr>
      <w:tr w:rsidR="00EF650E" w:rsidRPr="00EF650E" w:rsidTr="00EF650E">
        <w:trPr>
          <w:trHeight w:val="300"/>
        </w:trPr>
        <w:tc>
          <w:tcPr>
            <w:tcW w:w="576"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年度</w:t>
            </w:r>
            <w:r w:rsidRPr="00EF650E">
              <w:rPr>
                <w:rFonts w:ascii="宋体" w:eastAsia="宋体" w:hAnsi="宋体" w:cs="宋体" w:hint="eastAsia"/>
                <w:color w:val="000000"/>
                <w:kern w:val="0"/>
                <w:sz w:val="20"/>
                <w:szCs w:val="20"/>
              </w:rPr>
              <w:br/>
              <w:t>目标</w:t>
            </w:r>
          </w:p>
        </w:tc>
        <w:tc>
          <w:tcPr>
            <w:tcW w:w="94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left"/>
              <w:rPr>
                <w:rFonts w:ascii="宋体" w:eastAsia="宋体" w:hAnsi="宋体" w:cs="宋体"/>
                <w:color w:val="000000"/>
                <w:kern w:val="0"/>
                <w:sz w:val="18"/>
                <w:szCs w:val="18"/>
              </w:rPr>
            </w:pPr>
            <w:r w:rsidRPr="00EF650E">
              <w:rPr>
                <w:rFonts w:ascii="宋体" w:eastAsia="宋体" w:hAnsi="宋体" w:cs="宋体" w:hint="eastAsia"/>
                <w:color w:val="000000"/>
                <w:kern w:val="0"/>
                <w:sz w:val="18"/>
                <w:szCs w:val="18"/>
              </w:rPr>
              <w:t>完善基础设施建设,提升展陈和接待水平、开展各类业务活动，举办各类展览，落实人员培训，提高人员素质，更好地履行我市公共文化服务窗口单位职能，完成省文化厅规定的公共文化场馆免费开放服务工作任务，切实做到文化为民、文化惠民。</w:t>
            </w:r>
          </w:p>
        </w:tc>
      </w:tr>
      <w:tr w:rsidR="00EF650E" w:rsidRPr="00EF650E" w:rsidTr="00EF650E">
        <w:trPr>
          <w:trHeight w:val="300"/>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绩</w:t>
            </w:r>
            <w:r w:rsidRPr="00EF650E">
              <w:rPr>
                <w:rFonts w:ascii="宋体" w:eastAsia="宋体" w:hAnsi="宋体" w:cs="宋体" w:hint="eastAsia"/>
                <w:color w:val="000000"/>
                <w:kern w:val="0"/>
                <w:sz w:val="20"/>
                <w:szCs w:val="20"/>
              </w:rPr>
              <w:br/>
              <w:t>效</w:t>
            </w:r>
            <w:r w:rsidRPr="00EF650E">
              <w:rPr>
                <w:rFonts w:ascii="宋体" w:eastAsia="宋体" w:hAnsi="宋体" w:cs="宋体" w:hint="eastAsia"/>
                <w:color w:val="000000"/>
                <w:kern w:val="0"/>
                <w:sz w:val="20"/>
                <w:szCs w:val="20"/>
              </w:rPr>
              <w:br/>
              <w:t>指</w:t>
            </w:r>
            <w:r w:rsidRPr="00EF650E">
              <w:rPr>
                <w:rFonts w:ascii="宋体" w:eastAsia="宋体" w:hAnsi="宋体" w:cs="宋体" w:hint="eastAsia"/>
                <w:color w:val="000000"/>
                <w:kern w:val="0"/>
                <w:sz w:val="20"/>
                <w:szCs w:val="20"/>
              </w:rPr>
              <w:br/>
              <w:t>标</w:t>
            </w:r>
          </w:p>
        </w:tc>
        <w:tc>
          <w:tcPr>
            <w:tcW w:w="576" w:type="dxa"/>
            <w:tcBorders>
              <w:top w:val="single" w:sz="4" w:space="0" w:color="000000"/>
              <w:left w:val="nil"/>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一级</w:t>
            </w:r>
            <w:r w:rsidRPr="00EF650E">
              <w:rPr>
                <w:rFonts w:ascii="宋体" w:eastAsia="宋体" w:hAnsi="宋体" w:cs="宋体" w:hint="eastAsia"/>
                <w:color w:val="000000"/>
                <w:kern w:val="0"/>
                <w:sz w:val="20"/>
                <w:szCs w:val="20"/>
              </w:rPr>
              <w:br/>
              <w:t>指标</w:t>
            </w:r>
          </w:p>
        </w:tc>
        <w:tc>
          <w:tcPr>
            <w:tcW w:w="1595"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二级指标</w:t>
            </w: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三级指标</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指标值</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val="restart"/>
            <w:tcBorders>
              <w:top w:val="single" w:sz="4" w:space="0" w:color="000000"/>
              <w:left w:val="nil"/>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产出指标</w:t>
            </w:r>
          </w:p>
        </w:tc>
        <w:tc>
          <w:tcPr>
            <w:tcW w:w="1595"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数量指标</w:t>
            </w: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开展送展览进基层活动</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≥24场</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1595" w:type="dxa"/>
            <w:gridSpan w:val="2"/>
            <w:vMerge/>
            <w:tcBorders>
              <w:top w:val="single" w:sz="4" w:space="0" w:color="000000"/>
              <w:left w:val="single" w:sz="4" w:space="0" w:color="000000"/>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举办各类临时展览</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≥10场</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1595" w:type="dxa"/>
            <w:gridSpan w:val="2"/>
            <w:vMerge/>
            <w:tcBorders>
              <w:top w:val="single" w:sz="4" w:space="0" w:color="000000"/>
              <w:left w:val="single" w:sz="4" w:space="0" w:color="000000"/>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开展各类社教活动情况</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≥60场</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1595"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质量指标</w:t>
            </w: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免费开放参观人数提高率</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≥10%</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1595" w:type="dxa"/>
            <w:gridSpan w:val="2"/>
            <w:vMerge/>
            <w:tcBorders>
              <w:top w:val="single" w:sz="4" w:space="0" w:color="000000"/>
              <w:left w:val="single" w:sz="4" w:space="0" w:color="000000"/>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场馆安全事故发生率</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≤0.5%</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1595"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时效指标</w:t>
            </w: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项目完成时间</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2025年12月月</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1595"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成本指标</w:t>
            </w: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项目金额</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34万</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val="restart"/>
            <w:tcBorders>
              <w:top w:val="single" w:sz="4" w:space="0" w:color="000000"/>
              <w:left w:val="nil"/>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效益指</w:t>
            </w:r>
            <w:r w:rsidRPr="00EF650E">
              <w:rPr>
                <w:rFonts w:ascii="宋体" w:eastAsia="宋体" w:hAnsi="宋体" w:cs="宋体" w:hint="eastAsia"/>
                <w:color w:val="000000"/>
                <w:kern w:val="0"/>
                <w:sz w:val="20"/>
                <w:szCs w:val="20"/>
              </w:rPr>
              <w:lastRenderedPageBreak/>
              <w:t>标</w:t>
            </w:r>
          </w:p>
        </w:tc>
        <w:tc>
          <w:tcPr>
            <w:tcW w:w="1595"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lastRenderedPageBreak/>
              <w:t>经济效益指标</w:t>
            </w: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促进旅游经济繁荣发展</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有效促进</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1595"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社会效益指标</w:t>
            </w: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丰富群众业余文化生活，增强文化自信</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有效丰富和提升</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1595"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生态效益指标</w:t>
            </w: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对当地生态环境的影响</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无不良影响</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vMerge/>
            <w:tcBorders>
              <w:top w:val="single" w:sz="4" w:space="0" w:color="000000"/>
              <w:left w:val="nil"/>
              <w:bottom w:val="single" w:sz="4" w:space="0" w:color="000000"/>
              <w:right w:val="nil"/>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1595"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可持续影响指标</w:t>
            </w: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繁荣文化市场，满足人民群众精神文化需求</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长期</w:t>
            </w:r>
          </w:p>
        </w:tc>
      </w:tr>
      <w:tr w:rsidR="00EF650E" w:rsidRPr="00EF650E" w:rsidTr="00EF650E">
        <w:trPr>
          <w:trHeight w:val="30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EF650E" w:rsidRPr="00EF650E" w:rsidRDefault="00EF650E" w:rsidP="00EF650E">
            <w:pPr>
              <w:widowControl/>
              <w:jc w:val="left"/>
              <w:rPr>
                <w:rFonts w:ascii="宋体" w:eastAsia="宋体" w:hAnsi="宋体" w:cs="宋体"/>
                <w:color w:val="000000"/>
                <w:kern w:val="0"/>
                <w:sz w:val="20"/>
                <w:szCs w:val="20"/>
              </w:rPr>
            </w:pPr>
          </w:p>
        </w:tc>
        <w:tc>
          <w:tcPr>
            <w:tcW w:w="576" w:type="dxa"/>
            <w:tcBorders>
              <w:top w:val="single" w:sz="4" w:space="0" w:color="000000"/>
              <w:left w:val="nil"/>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满意度指标</w:t>
            </w:r>
          </w:p>
        </w:tc>
        <w:tc>
          <w:tcPr>
            <w:tcW w:w="1595" w:type="dxa"/>
            <w:gridSpan w:val="2"/>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满意度指标</w:t>
            </w:r>
          </w:p>
        </w:tc>
        <w:tc>
          <w:tcPr>
            <w:tcW w:w="3139" w:type="dxa"/>
            <w:tcBorders>
              <w:top w:val="single" w:sz="4" w:space="0" w:color="000000"/>
              <w:left w:val="single" w:sz="4" w:space="0" w:color="000000"/>
              <w:bottom w:val="single" w:sz="4" w:space="0" w:color="000000"/>
              <w:right w:val="nil"/>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服务群众满意程度</w:t>
            </w:r>
          </w:p>
        </w:tc>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50E" w:rsidRPr="00EF650E" w:rsidRDefault="00EF650E" w:rsidP="00EF650E">
            <w:pPr>
              <w:widowControl/>
              <w:jc w:val="center"/>
              <w:rPr>
                <w:rFonts w:ascii="宋体" w:eastAsia="宋体" w:hAnsi="宋体" w:cs="宋体"/>
                <w:color w:val="000000"/>
                <w:kern w:val="0"/>
                <w:sz w:val="20"/>
                <w:szCs w:val="20"/>
              </w:rPr>
            </w:pPr>
            <w:r w:rsidRPr="00EF650E">
              <w:rPr>
                <w:rFonts w:ascii="宋体" w:eastAsia="宋体" w:hAnsi="宋体" w:cs="宋体" w:hint="eastAsia"/>
                <w:color w:val="000000"/>
                <w:kern w:val="0"/>
                <w:sz w:val="20"/>
                <w:szCs w:val="20"/>
              </w:rPr>
              <w:t>≥95%</w:t>
            </w:r>
          </w:p>
        </w:tc>
      </w:tr>
    </w:tbl>
    <w:p w:rsidR="00C32AE5" w:rsidRDefault="00C32AE5" w:rsidP="00EF650E">
      <w:pPr>
        <w:adjustRightInd w:val="0"/>
        <w:snapToGrid w:val="0"/>
        <w:spacing w:line="580" w:lineRule="exact"/>
        <w:ind w:firstLineChars="100" w:firstLine="321"/>
        <w:rPr>
          <w:rFonts w:ascii="TimesNewRoman" w:eastAsia="仿宋_GB2312" w:hAnsi="TimesNewRoman" w:cs="TimesNewRoman"/>
          <w:b/>
          <w:sz w:val="32"/>
          <w:szCs w:val="32"/>
        </w:rPr>
      </w:pPr>
    </w:p>
    <w:p w:rsidR="00C32AE5" w:rsidRDefault="00C32AE5" w:rsidP="00EF650E">
      <w:pPr>
        <w:adjustRightInd w:val="0"/>
        <w:snapToGrid w:val="0"/>
        <w:spacing w:line="580" w:lineRule="exact"/>
        <w:ind w:firstLineChars="100" w:firstLine="321"/>
        <w:rPr>
          <w:rFonts w:ascii="TimesNewRoman" w:eastAsia="仿宋_GB2312" w:hAnsi="TimesNewRoman" w:cs="TimesNewRoman"/>
          <w:b/>
          <w:sz w:val="32"/>
          <w:szCs w:val="32"/>
        </w:rPr>
      </w:pPr>
    </w:p>
    <w:p w:rsidR="00C32AE5" w:rsidRDefault="00C32AE5" w:rsidP="00EF650E">
      <w:pPr>
        <w:adjustRightInd w:val="0"/>
        <w:snapToGrid w:val="0"/>
        <w:spacing w:line="580" w:lineRule="exact"/>
        <w:ind w:firstLineChars="100" w:firstLine="321"/>
        <w:rPr>
          <w:rFonts w:ascii="TimesNewRoman" w:eastAsia="仿宋_GB2312" w:hAnsi="TimesNewRoman" w:cs="TimesNewRoman"/>
          <w:b/>
          <w:sz w:val="32"/>
          <w:szCs w:val="32"/>
        </w:rPr>
      </w:pPr>
    </w:p>
    <w:p w:rsidR="00E907C4" w:rsidRPr="006546AF" w:rsidRDefault="00E907C4" w:rsidP="00C32AE5">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（二）机关运行经费。</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AC1409">
        <w:rPr>
          <w:rFonts w:ascii="TimesNewRoman" w:eastAsia="仿宋_GB2312" w:hAnsi="TimesNewRoman" w:cs="TimesNewRoman" w:hint="eastAsia"/>
          <w:kern w:val="0"/>
          <w:sz w:val="32"/>
          <w:szCs w:val="32"/>
        </w:rPr>
        <w:t>刘开渠纪念馆</w:t>
      </w:r>
      <w:r w:rsidRPr="009A3CA3">
        <w:rPr>
          <w:rFonts w:ascii="TimesNewRoman" w:eastAsia="仿宋_GB2312" w:hAnsi="TimesNewRoman" w:cs="TimesNewRoman" w:hint="eastAsia"/>
          <w:kern w:val="0"/>
          <w:sz w:val="32"/>
          <w:szCs w:val="32"/>
        </w:rPr>
        <w:t>为非参照公务员法管理的事业单位，按照部门预算机关运行经费口径，</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年无机关运行经费财政拨款预算。</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（三）政府采购情况。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AC1409">
        <w:rPr>
          <w:rFonts w:ascii="TimesNewRoman" w:eastAsia="仿宋_GB2312" w:hAnsi="TimesNewRoman" w:cs="TimesNewRoman" w:hint="eastAsia"/>
          <w:kern w:val="0"/>
          <w:sz w:val="32"/>
          <w:szCs w:val="32"/>
        </w:rPr>
        <w:t>刘开渠纪念馆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年政府采购预算</w:t>
      </w:r>
      <w:r w:rsidR="00AC1409">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万元。其中：政府采购货物预算</w:t>
      </w:r>
      <w:r w:rsidR="00AC1409">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万元，政府采购工程预算</w:t>
      </w:r>
      <w:r w:rsidR="00AC1409">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万元，政府采购服务预算</w:t>
      </w:r>
      <w:r w:rsidR="00AC1409">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（四）国有资产占有使用情况。</w:t>
      </w:r>
    </w:p>
    <w:p w:rsidR="00AC1409" w:rsidRDefault="00AC1409" w:rsidP="00AC140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日，淮北市刘开渠纪念馆共有车辆</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w:t>
      </w:r>
    </w:p>
    <w:p w:rsidR="00AC1409" w:rsidRDefault="00AC1409" w:rsidP="00AC140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年部门（单位）预算安排购置公务用车</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（五）绩效目标设置情况。</w:t>
      </w:r>
    </w:p>
    <w:p w:rsidR="00AC1409" w:rsidRDefault="00F45ECB" w:rsidP="00AC140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2025</w:t>
      </w:r>
      <w:r w:rsidR="00E907C4" w:rsidRPr="009A3CA3">
        <w:rPr>
          <w:rFonts w:ascii="TimesNewRoman" w:eastAsia="仿宋_GB2312" w:hAnsi="TimesNewRoman" w:cs="TimesNewRoman" w:hint="eastAsia"/>
          <w:kern w:val="0"/>
          <w:sz w:val="32"/>
          <w:szCs w:val="32"/>
        </w:rPr>
        <w:t>年，</w:t>
      </w:r>
      <w:r w:rsidR="00AC1409">
        <w:rPr>
          <w:rFonts w:ascii="TimesNewRoman" w:eastAsia="仿宋_GB2312" w:hAnsi="TimesNewRoman" w:cs="TimesNewRoman" w:hint="eastAsia"/>
          <w:kern w:val="0"/>
          <w:sz w:val="32"/>
          <w:szCs w:val="32"/>
        </w:rPr>
        <w:t>淮北市刘开渠纪念馆对</w:t>
      </w:r>
      <w:r w:rsidR="00AC1409">
        <w:rPr>
          <w:rFonts w:ascii="TimesNewRoman" w:eastAsia="仿宋_GB2312" w:hAnsi="TimesNewRoman" w:cs="TimesNewRoman" w:hint="eastAsia"/>
          <w:kern w:val="0"/>
          <w:sz w:val="32"/>
          <w:szCs w:val="32"/>
        </w:rPr>
        <w:t>2</w:t>
      </w:r>
      <w:r w:rsidR="00AC1409">
        <w:rPr>
          <w:rFonts w:ascii="TimesNewRoman" w:eastAsia="仿宋_GB2312" w:hAnsi="TimesNewRoman" w:cs="TimesNewRoman" w:hint="eastAsia"/>
          <w:kern w:val="0"/>
          <w:sz w:val="32"/>
          <w:szCs w:val="32"/>
        </w:rPr>
        <w:t>个项目实行了绩效目标管理，涉及一般公共预算当年财政拨款</w:t>
      </w:r>
      <w:r w:rsidR="00AC1409">
        <w:rPr>
          <w:rFonts w:ascii="TimesNewRoman" w:eastAsia="仿宋_GB2312" w:hAnsi="TimesNewRoman" w:cs="TimesNewRoman" w:hint="eastAsia"/>
          <w:kern w:val="0"/>
          <w:sz w:val="32"/>
          <w:szCs w:val="32"/>
        </w:rPr>
        <w:t>53</w:t>
      </w:r>
      <w:r w:rsidR="00AC1409">
        <w:rPr>
          <w:rFonts w:ascii="TimesNewRoman" w:eastAsia="仿宋_GB2312" w:hAnsi="TimesNewRoman" w:cs="TimesNewRoman" w:hint="eastAsia"/>
          <w:kern w:val="0"/>
          <w:sz w:val="32"/>
          <w:szCs w:val="32"/>
        </w:rPr>
        <w:t>万元、政府性基金预算当年财政拨款</w:t>
      </w:r>
      <w:r w:rsidR="00AC1409">
        <w:rPr>
          <w:rFonts w:ascii="TimesNewRoman" w:eastAsia="仿宋_GB2312" w:hAnsi="TimesNewRoman" w:cs="TimesNewRoman" w:hint="eastAsia"/>
          <w:kern w:val="0"/>
          <w:sz w:val="32"/>
          <w:szCs w:val="32"/>
        </w:rPr>
        <w:t>0</w:t>
      </w:r>
      <w:r w:rsidR="00AC1409">
        <w:rPr>
          <w:rFonts w:ascii="TimesNewRoman" w:eastAsia="仿宋_GB2312" w:hAnsi="TimesNewRoman" w:cs="TimesNewRoman" w:hint="eastAsia"/>
          <w:kern w:val="0"/>
          <w:sz w:val="32"/>
          <w:szCs w:val="32"/>
        </w:rPr>
        <w:t>万元、财政专户管理资金当年安排</w:t>
      </w:r>
      <w:r w:rsidR="00AC1409">
        <w:rPr>
          <w:rFonts w:ascii="TimesNewRoman" w:eastAsia="仿宋_GB2312" w:hAnsi="TimesNewRoman" w:cs="TimesNewRoman" w:hint="eastAsia"/>
          <w:kern w:val="0"/>
          <w:sz w:val="32"/>
          <w:szCs w:val="32"/>
        </w:rPr>
        <w:t>0</w:t>
      </w:r>
      <w:r w:rsidR="00AC1409">
        <w:rPr>
          <w:rFonts w:ascii="TimesNewRoman" w:eastAsia="仿宋_GB2312" w:hAnsi="TimesNewRoman" w:cs="TimesNewRoman" w:hint="eastAsia"/>
          <w:kern w:val="0"/>
          <w:sz w:val="32"/>
          <w:szCs w:val="32"/>
        </w:rPr>
        <w:t>万元。</w:t>
      </w:r>
    </w:p>
    <w:p w:rsidR="00AC1409" w:rsidRDefault="00AC1409" w:rsidP="00AC1409">
      <w:pPr>
        <w:ind w:firstLineChars="200" w:firstLine="640"/>
        <w:rPr>
          <w:rFonts w:ascii="TimesNewRoman" w:eastAsia="仿宋_GB2312" w:hAnsi="TimesNewRoman" w:cs="TimesNewRoman"/>
          <w:kern w:val="0"/>
          <w:sz w:val="32"/>
          <w:szCs w:val="32"/>
        </w:rPr>
      </w:pPr>
    </w:p>
    <w:p w:rsidR="006546AF" w:rsidRDefault="006546AF" w:rsidP="00AC1409">
      <w:pPr>
        <w:ind w:firstLineChars="200" w:firstLine="720"/>
        <w:rPr>
          <w:rFonts w:ascii="TimesNewRoman" w:eastAsia="黑体" w:hAnsi="TimesNewRoman" w:cs="TimesNewRoman"/>
          <w:bCs/>
          <w:sz w:val="36"/>
          <w:szCs w:val="36"/>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第四部分</w:t>
      </w:r>
      <w:r w:rsidRPr="00E907C4">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名词解释</w:t>
      </w:r>
    </w:p>
    <w:p w:rsidR="00E907C4" w:rsidRDefault="00E907C4" w:rsidP="00E907C4"/>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一、财政拨款收入：</w:t>
      </w:r>
      <w:r w:rsidRPr="009A3CA3">
        <w:rPr>
          <w:rFonts w:ascii="TimesNewRoman" w:eastAsia="仿宋_GB2312" w:hAnsi="TimesNewRoman" w:cs="TimesNewRoman" w:hint="eastAsia"/>
          <w:sz w:val="32"/>
          <w:szCs w:val="32"/>
        </w:rPr>
        <w:t>指部门或单位从同级财政部门取得的财政预算资金。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二、事业收入：</w:t>
      </w:r>
      <w:r w:rsidRPr="009A3CA3">
        <w:rPr>
          <w:rFonts w:ascii="TimesNewRoman" w:eastAsia="仿宋_GB2312" w:hAnsi="TimesNewRoman" w:cs="TimesNewRoman" w:hint="eastAsia"/>
          <w:sz w:val="32"/>
          <w:szCs w:val="32"/>
        </w:rPr>
        <w:t>指事业单位开展专业业务活动及辅助活动所取得的收入。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三、财政专户管理资金：</w:t>
      </w:r>
      <w:r w:rsidRPr="009A3CA3">
        <w:rPr>
          <w:rFonts w:ascii="TimesNewRoman" w:eastAsia="仿宋_GB2312" w:hAnsi="TimesNewRoman" w:cs="TimesNewRoman" w:hint="eastAsia"/>
          <w:sz w:val="32"/>
          <w:szCs w:val="32"/>
        </w:rPr>
        <w:t>指按照非税收入管理相关规定，纳入财政专户管理的教育收费等。</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四、事业单位经营收入：</w:t>
      </w:r>
      <w:r w:rsidRPr="009A3CA3">
        <w:rPr>
          <w:rFonts w:ascii="TimesNewRoman" w:eastAsia="仿宋_GB2312" w:hAnsi="TimesNewRoman" w:cs="TimesNewRoman" w:hint="eastAsia"/>
          <w:sz w:val="32"/>
          <w:szCs w:val="32"/>
        </w:rPr>
        <w:t>指事业单位在专业业务活动及其辅助活动之外开展非独立核算经营活动取得的收入。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五、附属单位上缴收入：</w:t>
      </w:r>
      <w:r w:rsidRPr="009A3CA3">
        <w:rPr>
          <w:rFonts w:ascii="TimesNewRoman" w:eastAsia="仿宋_GB2312" w:hAnsi="TimesNewRoman" w:cs="TimesNewRoman" w:hint="eastAsia"/>
          <w:sz w:val="32"/>
          <w:szCs w:val="32"/>
        </w:rPr>
        <w:t>本单位所属下级单位上缴给本单位的全部收入。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六、上年结转：</w:t>
      </w:r>
      <w:r w:rsidRPr="009A3CA3">
        <w:rPr>
          <w:rFonts w:ascii="TimesNewRoman" w:eastAsia="仿宋_GB2312" w:hAnsi="TimesNewRoman" w:cs="TimesNewRoman" w:hint="eastAsia"/>
          <w:sz w:val="32"/>
          <w:szCs w:val="32"/>
        </w:rPr>
        <w:t>指以前年度安排、结转到本年仍按原用途继续使用的资金。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lastRenderedPageBreak/>
        <w:t>七、结转下年：</w:t>
      </w:r>
      <w:r w:rsidRPr="009A3CA3">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八、基本支出：</w:t>
      </w:r>
      <w:r w:rsidRPr="009A3CA3">
        <w:rPr>
          <w:rFonts w:ascii="TimesNewRoman" w:eastAsia="仿宋_GB2312" w:hAnsi="TimesNewRoman" w:cs="TimesNewRoman" w:hint="eastAsia"/>
          <w:sz w:val="32"/>
          <w:szCs w:val="32"/>
        </w:rPr>
        <w:t>指为保障机构正常运转、完成日常工作任务而发生的人员支出和公用支出。</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九、项目支出：</w:t>
      </w:r>
      <w:r w:rsidRPr="009A3CA3">
        <w:rPr>
          <w:rFonts w:ascii="TimesNewRoman" w:eastAsia="仿宋_GB2312" w:hAnsi="TimesNewRoman" w:cs="TimesNewRoman" w:hint="eastAsia"/>
          <w:sz w:val="32"/>
          <w:szCs w:val="32"/>
        </w:rPr>
        <w:t>指在除基本支出之外的支出，主要用于完成特定的工作任务和事业发展目标。</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十、机关运行经费</w:t>
      </w:r>
      <w:r w:rsidRPr="009A3CA3">
        <w:rPr>
          <w:rFonts w:ascii="TimesNewRoman" w:eastAsia="仿宋_GB2312" w:hAnsi="TimesNewRoman" w:cs="TimesNewRoman" w:hint="eastAsia"/>
          <w:b/>
          <w:sz w:val="32"/>
          <w:szCs w:val="32"/>
        </w:rPr>
        <w:t xml:space="preserve">: </w:t>
      </w:r>
      <w:r w:rsidRPr="009A3CA3">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907C4" w:rsidRDefault="00E907C4" w:rsidP="00E907C4"/>
    <w:p w:rsidR="00E907C4" w:rsidRDefault="00E907C4" w:rsidP="00E907C4"/>
    <w:p w:rsidR="00E907C4" w:rsidRDefault="00E907C4" w:rsidP="00E907C4"/>
    <w:p w:rsidR="00E907C4" w:rsidRDefault="00E907C4" w:rsidP="00E907C4"/>
    <w:p w:rsidR="00A972AC" w:rsidRPr="00E907C4" w:rsidRDefault="006D5B40"/>
    <w:sectPr w:rsidR="00A972AC" w:rsidRPr="00E907C4" w:rsidSect="00BD640A">
      <w:pgSz w:w="11906" w:h="16838"/>
      <w:pgMar w:top="1304" w:right="1134" w:bottom="130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40" w:rsidRDefault="006D5B40" w:rsidP="000E28EE">
      <w:r>
        <w:separator/>
      </w:r>
    </w:p>
  </w:endnote>
  <w:endnote w:type="continuationSeparator" w:id="0">
    <w:p w:rsidR="006D5B40" w:rsidRDefault="006D5B40" w:rsidP="000E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
    <w:altName w:val="Arial"/>
    <w:charset w:val="00"/>
    <w:family w:val="auto"/>
    <w:pitch w:val="default"/>
    <w:sig w:usb0="00000000" w:usb1="D00078FF"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altName w:val="汉仪中黑 197"/>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40" w:rsidRDefault="006D5B40" w:rsidP="000E28EE">
      <w:r>
        <w:separator/>
      </w:r>
    </w:p>
  </w:footnote>
  <w:footnote w:type="continuationSeparator" w:id="0">
    <w:p w:rsidR="006D5B40" w:rsidRDefault="006D5B40" w:rsidP="000E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36907"/>
    <w:rsid w:val="000462F7"/>
    <w:rsid w:val="00055813"/>
    <w:rsid w:val="000C760E"/>
    <w:rsid w:val="000E28EE"/>
    <w:rsid w:val="001553DA"/>
    <w:rsid w:val="00196D9F"/>
    <w:rsid w:val="001A75CF"/>
    <w:rsid w:val="0021406D"/>
    <w:rsid w:val="0023775A"/>
    <w:rsid w:val="00267E33"/>
    <w:rsid w:val="0027793F"/>
    <w:rsid w:val="002A3257"/>
    <w:rsid w:val="002B01F7"/>
    <w:rsid w:val="002D11E3"/>
    <w:rsid w:val="002F4171"/>
    <w:rsid w:val="003633C5"/>
    <w:rsid w:val="00383AA6"/>
    <w:rsid w:val="003C023C"/>
    <w:rsid w:val="004214A8"/>
    <w:rsid w:val="004A4DC6"/>
    <w:rsid w:val="00521E10"/>
    <w:rsid w:val="0057562B"/>
    <w:rsid w:val="005D384A"/>
    <w:rsid w:val="005E5C76"/>
    <w:rsid w:val="006546AF"/>
    <w:rsid w:val="00663942"/>
    <w:rsid w:val="0068567E"/>
    <w:rsid w:val="006D5B40"/>
    <w:rsid w:val="00726D96"/>
    <w:rsid w:val="00740B10"/>
    <w:rsid w:val="00896557"/>
    <w:rsid w:val="00897C42"/>
    <w:rsid w:val="008A77B2"/>
    <w:rsid w:val="008F232F"/>
    <w:rsid w:val="008F6D1A"/>
    <w:rsid w:val="009168AC"/>
    <w:rsid w:val="00962660"/>
    <w:rsid w:val="00975F1A"/>
    <w:rsid w:val="009857B1"/>
    <w:rsid w:val="009A3CA3"/>
    <w:rsid w:val="009C0C5C"/>
    <w:rsid w:val="00A75362"/>
    <w:rsid w:val="00A856F6"/>
    <w:rsid w:val="00AC1409"/>
    <w:rsid w:val="00AE3242"/>
    <w:rsid w:val="00B052F7"/>
    <w:rsid w:val="00B06924"/>
    <w:rsid w:val="00B156CA"/>
    <w:rsid w:val="00B73083"/>
    <w:rsid w:val="00B964EC"/>
    <w:rsid w:val="00BA4470"/>
    <w:rsid w:val="00BA4D12"/>
    <w:rsid w:val="00BD640A"/>
    <w:rsid w:val="00C074FC"/>
    <w:rsid w:val="00C32AE5"/>
    <w:rsid w:val="00C373B8"/>
    <w:rsid w:val="00C547D4"/>
    <w:rsid w:val="00C76B5C"/>
    <w:rsid w:val="00C97CC6"/>
    <w:rsid w:val="00D558D9"/>
    <w:rsid w:val="00DB2A5C"/>
    <w:rsid w:val="00E7516F"/>
    <w:rsid w:val="00E907C4"/>
    <w:rsid w:val="00EC7755"/>
    <w:rsid w:val="00ED734F"/>
    <w:rsid w:val="00EE1F56"/>
    <w:rsid w:val="00EE230B"/>
    <w:rsid w:val="00EF650E"/>
    <w:rsid w:val="00F45ECB"/>
    <w:rsid w:val="00F974AD"/>
    <w:rsid w:val="00FB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0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B2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B2A5C"/>
    <w:rPr>
      <w:sz w:val="18"/>
      <w:szCs w:val="18"/>
    </w:rPr>
  </w:style>
  <w:style w:type="paragraph" w:styleId="a5">
    <w:name w:val="footer"/>
    <w:basedOn w:val="a"/>
    <w:link w:val="Char0"/>
    <w:uiPriority w:val="99"/>
    <w:semiHidden/>
    <w:unhideWhenUsed/>
    <w:rsid w:val="00DB2A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B2A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758">
      <w:bodyDiv w:val="1"/>
      <w:marLeft w:val="0"/>
      <w:marRight w:val="0"/>
      <w:marTop w:val="0"/>
      <w:marBottom w:val="0"/>
      <w:divBdr>
        <w:top w:val="none" w:sz="0" w:space="0" w:color="auto"/>
        <w:left w:val="none" w:sz="0" w:space="0" w:color="auto"/>
        <w:bottom w:val="none" w:sz="0" w:space="0" w:color="auto"/>
        <w:right w:val="none" w:sz="0" w:space="0" w:color="auto"/>
      </w:divBdr>
    </w:div>
    <w:div w:id="247545076">
      <w:bodyDiv w:val="1"/>
      <w:marLeft w:val="0"/>
      <w:marRight w:val="0"/>
      <w:marTop w:val="0"/>
      <w:marBottom w:val="0"/>
      <w:divBdr>
        <w:top w:val="none" w:sz="0" w:space="0" w:color="auto"/>
        <w:left w:val="none" w:sz="0" w:space="0" w:color="auto"/>
        <w:bottom w:val="none" w:sz="0" w:space="0" w:color="auto"/>
        <w:right w:val="none" w:sz="0" w:space="0" w:color="auto"/>
      </w:divBdr>
    </w:div>
    <w:div w:id="306976372">
      <w:bodyDiv w:val="1"/>
      <w:marLeft w:val="0"/>
      <w:marRight w:val="0"/>
      <w:marTop w:val="0"/>
      <w:marBottom w:val="0"/>
      <w:divBdr>
        <w:top w:val="none" w:sz="0" w:space="0" w:color="auto"/>
        <w:left w:val="none" w:sz="0" w:space="0" w:color="auto"/>
        <w:bottom w:val="none" w:sz="0" w:space="0" w:color="auto"/>
        <w:right w:val="none" w:sz="0" w:space="0" w:color="auto"/>
      </w:divBdr>
    </w:div>
    <w:div w:id="547187332">
      <w:bodyDiv w:val="1"/>
      <w:marLeft w:val="0"/>
      <w:marRight w:val="0"/>
      <w:marTop w:val="0"/>
      <w:marBottom w:val="0"/>
      <w:divBdr>
        <w:top w:val="none" w:sz="0" w:space="0" w:color="auto"/>
        <w:left w:val="none" w:sz="0" w:space="0" w:color="auto"/>
        <w:bottom w:val="none" w:sz="0" w:space="0" w:color="auto"/>
        <w:right w:val="none" w:sz="0" w:space="0" w:color="auto"/>
      </w:divBdr>
    </w:div>
    <w:div w:id="547642222">
      <w:bodyDiv w:val="1"/>
      <w:marLeft w:val="0"/>
      <w:marRight w:val="0"/>
      <w:marTop w:val="0"/>
      <w:marBottom w:val="0"/>
      <w:divBdr>
        <w:top w:val="none" w:sz="0" w:space="0" w:color="auto"/>
        <w:left w:val="none" w:sz="0" w:space="0" w:color="auto"/>
        <w:bottom w:val="none" w:sz="0" w:space="0" w:color="auto"/>
        <w:right w:val="none" w:sz="0" w:space="0" w:color="auto"/>
      </w:divBdr>
    </w:div>
    <w:div w:id="873080395">
      <w:bodyDiv w:val="1"/>
      <w:marLeft w:val="0"/>
      <w:marRight w:val="0"/>
      <w:marTop w:val="0"/>
      <w:marBottom w:val="0"/>
      <w:divBdr>
        <w:top w:val="none" w:sz="0" w:space="0" w:color="auto"/>
        <w:left w:val="none" w:sz="0" w:space="0" w:color="auto"/>
        <w:bottom w:val="none" w:sz="0" w:space="0" w:color="auto"/>
        <w:right w:val="none" w:sz="0" w:space="0" w:color="auto"/>
      </w:divBdr>
    </w:div>
    <w:div w:id="1144617896">
      <w:bodyDiv w:val="1"/>
      <w:marLeft w:val="0"/>
      <w:marRight w:val="0"/>
      <w:marTop w:val="0"/>
      <w:marBottom w:val="0"/>
      <w:divBdr>
        <w:top w:val="none" w:sz="0" w:space="0" w:color="auto"/>
        <w:left w:val="none" w:sz="0" w:space="0" w:color="auto"/>
        <w:bottom w:val="none" w:sz="0" w:space="0" w:color="auto"/>
        <w:right w:val="none" w:sz="0" w:space="0" w:color="auto"/>
      </w:divBdr>
    </w:div>
    <w:div w:id="1399674472">
      <w:bodyDiv w:val="1"/>
      <w:marLeft w:val="0"/>
      <w:marRight w:val="0"/>
      <w:marTop w:val="0"/>
      <w:marBottom w:val="0"/>
      <w:divBdr>
        <w:top w:val="none" w:sz="0" w:space="0" w:color="auto"/>
        <w:left w:val="none" w:sz="0" w:space="0" w:color="auto"/>
        <w:bottom w:val="none" w:sz="0" w:space="0" w:color="auto"/>
        <w:right w:val="none" w:sz="0" w:space="0" w:color="auto"/>
      </w:divBdr>
    </w:div>
    <w:div w:id="1468206644">
      <w:bodyDiv w:val="1"/>
      <w:marLeft w:val="0"/>
      <w:marRight w:val="0"/>
      <w:marTop w:val="0"/>
      <w:marBottom w:val="0"/>
      <w:divBdr>
        <w:top w:val="none" w:sz="0" w:space="0" w:color="auto"/>
        <w:left w:val="none" w:sz="0" w:space="0" w:color="auto"/>
        <w:bottom w:val="none" w:sz="0" w:space="0" w:color="auto"/>
        <w:right w:val="none" w:sz="0" w:space="0" w:color="auto"/>
      </w:divBdr>
    </w:div>
    <w:div w:id="1783455873">
      <w:bodyDiv w:val="1"/>
      <w:marLeft w:val="0"/>
      <w:marRight w:val="0"/>
      <w:marTop w:val="0"/>
      <w:marBottom w:val="0"/>
      <w:divBdr>
        <w:top w:val="none" w:sz="0" w:space="0" w:color="auto"/>
        <w:left w:val="none" w:sz="0" w:space="0" w:color="auto"/>
        <w:bottom w:val="none" w:sz="0" w:space="0" w:color="auto"/>
        <w:right w:val="none" w:sz="0" w:space="0" w:color="auto"/>
      </w:divBdr>
    </w:div>
    <w:div w:id="2065057420">
      <w:bodyDiv w:val="1"/>
      <w:marLeft w:val="0"/>
      <w:marRight w:val="0"/>
      <w:marTop w:val="0"/>
      <w:marBottom w:val="0"/>
      <w:divBdr>
        <w:top w:val="none" w:sz="0" w:space="0" w:color="auto"/>
        <w:left w:val="none" w:sz="0" w:space="0" w:color="auto"/>
        <w:bottom w:val="none" w:sz="0" w:space="0" w:color="auto"/>
        <w:right w:val="none" w:sz="0" w:space="0" w:color="auto"/>
      </w:divBdr>
    </w:div>
    <w:div w:id="2072462195">
      <w:bodyDiv w:val="1"/>
      <w:marLeft w:val="0"/>
      <w:marRight w:val="0"/>
      <w:marTop w:val="0"/>
      <w:marBottom w:val="0"/>
      <w:divBdr>
        <w:top w:val="none" w:sz="0" w:space="0" w:color="auto"/>
        <w:left w:val="none" w:sz="0" w:space="0" w:color="auto"/>
        <w:bottom w:val="none" w:sz="0" w:space="0" w:color="auto"/>
        <w:right w:val="none" w:sz="0" w:space="0" w:color="auto"/>
      </w:divBdr>
    </w:div>
    <w:div w:id="20796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18</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81</cp:revision>
  <dcterms:created xsi:type="dcterms:W3CDTF">2023-01-30T01:51:00Z</dcterms:created>
  <dcterms:modified xsi:type="dcterms:W3CDTF">2025-02-11T02:48:00Z</dcterms:modified>
</cp:coreProperties>
</file>