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5E4EA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3B234FC7">
      <w:pPr>
        <w:jc w:val="center"/>
        <w:outlineLvl w:val="0"/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</w:pPr>
      <w:bookmarkStart w:id="0" w:name="_Toc15842"/>
      <w:bookmarkStart w:id="1" w:name="_Toc12679"/>
      <w:bookmarkStart w:id="2" w:name="_Toc30045"/>
      <w:bookmarkStart w:id="3" w:name="_Toc6005"/>
      <w:bookmarkStart w:id="4" w:name="_Toc28786"/>
      <w:bookmarkStart w:id="5" w:name="_Toc31675"/>
      <w:bookmarkStart w:id="6" w:name="_Toc6859"/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淮北市关于优化羽毛球乒乓球服务供给 激发群众体育消费新需求的实施方案</w:t>
      </w:r>
    </w:p>
    <w:p w14:paraId="5EC73D43">
      <w:pPr>
        <w:jc w:val="center"/>
        <w:outlineLvl w:val="0"/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（征求意见稿）</w:t>
      </w:r>
      <w:bookmarkEnd w:id="0"/>
      <w:bookmarkEnd w:id="1"/>
      <w:bookmarkEnd w:id="2"/>
      <w:bookmarkEnd w:id="3"/>
      <w:bookmarkEnd w:id="4"/>
      <w:bookmarkEnd w:id="5"/>
      <w:bookmarkEnd w:id="6"/>
    </w:p>
    <w:p w14:paraId="5CBD5C50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37D7CB83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58B9D543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3C02F1E0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06D1582C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0AA1A059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128869DA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18E9380B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001186F6">
      <w:pPr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</w:p>
    <w:p w14:paraId="5F1A7BA1">
      <w:pPr>
        <w:jc w:val="center"/>
        <w:outlineLvl w:val="0"/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  <w:bookmarkStart w:id="7" w:name="_Toc8402"/>
      <w:bookmarkStart w:id="8" w:name="_Toc2123"/>
      <w:bookmarkStart w:id="9" w:name="_Toc6771"/>
      <w:bookmarkStart w:id="10" w:name="_Toc13469"/>
      <w:bookmarkStart w:id="11" w:name="_Toc11462"/>
      <w:bookmarkStart w:id="12" w:name="_Toc26730"/>
      <w:bookmarkStart w:id="13" w:name="_Toc29393"/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淮北市文化旅游体育局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55CE3D3D">
      <w:pPr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lowerRoman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202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 xml:space="preserve"> 年 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 xml:space="preserve"> 月</w:t>
      </w:r>
    </w:p>
    <w:p w14:paraId="2C7854D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left"/>
        <w:textAlignment w:val="baseline"/>
        <w:outlineLvl w:val="1"/>
        <w:rPr>
          <w:rFonts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为更好满足人民群众体育消费新需求，优化健身服务供给，按照我省</w:t>
      </w:r>
      <w:r>
        <w:rPr>
          <w:rFonts w:hint="eastAsia" w:ascii="仿宋_GB2312" w:hAnsi="Arial" w:eastAsia="仿宋_GB2312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关于优化羽毛球乒乓球服务供给有关工作部署</w:t>
      </w:r>
      <w:r>
        <w:rPr>
          <w:rFonts w:hint="eastAsia"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，以群众基础好、市场潜力大的羽毛球、乒乓球项目为切入点，坚持投资于物和投资于人紧密结合，打造线上线下协同、覆盖全链条的全民健身服务平台，推动淮北市群众体育与体育产业、体育消费深度融合。结合我市实际，制定以下实施方案。</w:t>
      </w:r>
    </w:p>
    <w:p w14:paraId="6B3D9F7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left"/>
        <w:textAlignment w:val="baseline"/>
        <w:outlineLvl w:val="1"/>
        <w:rPr>
          <w:rFonts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一、创新健身服务模式，拓展线上服务消费场景</w:t>
      </w:r>
    </w:p>
    <w:p w14:paraId="0EFA4FE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1.推进智慧化服务场景创新。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依托省级智慧体育服务平台，建设淮北市全民健身服务门户，集成“找场馆、找教练、找陪练、找赛事”四大功能，实现羽毛球、乒乓球场地“一键预约”。深度融入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2026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年智慧化服务场景创新，平台应用接入皖事通“高效办成一件事”专区，同步开辟抖音、公众号等移动端入口；加强与市传媒中心对接，开设体育健身专题栏目，多渠道宣传平台服务功能。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2026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年底前，完成享受低免开放补助的公共体育场馆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市体育馆、濉溪县体育馆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智慧化改造并接入平台；在充分摸底的基础上，积极吸引社会力量运营的羽毛球馆、乒乓球馆入驻，力争到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2028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年底全市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50%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以上社会场馆接入平台。完善教练在线注册、资质公示与信用管理机制，做好体彩公益金宣传，展示全民健身风采。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市数据资源管理局、各县（区）人民政府）</w:t>
      </w:r>
    </w:p>
    <w:p w14:paraId="49697D9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2.推动平台市场化运营。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通过政府购买服务方式，引入优质运营团队负责平台日常运维与市场推广。构建集信息发布、在线预约、资金监管、服务评价于一体的全流程服务体系，建立羽毛球、乒乓球培训收费监管机制，保障消费者权益。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市数据资源管理局、各县（区）人民政府）</w:t>
      </w:r>
    </w:p>
    <w:p w14:paraId="0042D1E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3.培育健身服务新业态。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整合全市教练、场馆资源，依托抖音、小红书等主流网络平台，创新推广“共享教练”、“拼团购课”、“陪练约单”等新型服务形态。支持体育用品销售与培训服务联动发展，延伸带动羽毛球拍、乒乓球拍等运动装备消费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  <w:t>市商务局、市数据资源管理局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）</w:t>
      </w:r>
    </w:p>
    <w:p w14:paraId="0CE8119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4.推行“精准滴灌”消费券。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每季度通过服务平台发放一轮体育消费券，针对羽毛球、乒乓球项目精准推送“新手体验券”（面向首次参与者）、“闲时增量券”（针对工作日白天时段）、“达标激励券”（面向坚持锻炼达标者）。重点向相山区、濉溪县等健身活跃区域倾斜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lang w:eastAsia="zh-CN"/>
        </w:rPr>
        <w:t>市商务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局）</w:t>
      </w:r>
    </w:p>
    <w:p w14:paraId="4212F50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5.畅通“接诉即办”渠道。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在服务平台设置投诉入口，确保投诉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100%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响应，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90%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以上在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7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个工作日内办结。构建场馆、教练综合评价体系，将评价结果作为平台搜索排序重要依据。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市发展和改革委员会、市数据资源管理局）</w:t>
      </w:r>
    </w:p>
    <w:p w14:paraId="51C6831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left"/>
        <w:textAlignment w:val="baseline"/>
        <w:outlineLvl w:val="1"/>
        <w:rPr>
          <w:rFonts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二、健全培养评价体系，筑牢专业人才供给基础</w:t>
      </w:r>
    </w:p>
    <w:p w14:paraId="360033C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6.完善职业技能人才分类评价。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将羽毛球、乒乓球社会体育指导员、健身教练及陪练人员纳入体育行业职业技能等级认定体系。提质科学健身指导服务，依托公益体育培训、专项体育技能培训、竞技体育赛事等，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力争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每年完成职业技能等级认定不少于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300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人，定期组织技能提升培训。常态化开展国家体育锻炼标准达标测验和国民体质监测活动，为群众提供体质测定、运动处方等专业服务。开展志愿服务、送教上门活动，为社区培训三级、二级社会体育指导员。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市人力资源和社会保障局）</w:t>
      </w:r>
    </w:p>
    <w:p w14:paraId="1FEBE37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7.畅通运动员转型教练通道。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实施“皖美启航”运动员转型行动，支持运动员通过专业机构培训，经考核合格后获取职业资格证书。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力争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每年帮助不少于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15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名运动员获得职业资格，推动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50%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以上在平台注册执业。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市人力资源和社会保障局）</w:t>
      </w:r>
    </w:p>
    <w:p w14:paraId="55BAF5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8.推动专业人才供需有效对接。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鼓励淮北师范大学等本地院校将羽毛球、乒乓球技能等级认定纳入培育计划。通过定向推荐、平台对接等方式，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力争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每年为有就业需求的持证人员提供就业岗位不少于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200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个。重点向濉溪县、相山区、烈山区等健身设施快速扩展区域输送人才。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市人力资源和社会保障局、市教育局、淮北师范大学）</w:t>
      </w:r>
    </w:p>
    <w:p w14:paraId="449ADBB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Arial" w:hAnsi="Arial" w:eastAsia="黑体" w:cs="Times New Roman"/>
          <w:snapToGrid w:val="0"/>
          <w:color w:val="000000"/>
          <w:kern w:val="0"/>
          <w:sz w:val="32"/>
          <w:szCs w:val="32"/>
          <w:lang w:eastAsia="en-US"/>
        </w:rPr>
        <w:t>三、扩容提质场地设施，提升城市功能品质活力</w:t>
      </w:r>
    </w:p>
    <w:p w14:paraId="6D42829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9.统筹推进场地设施增量提质。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将羽毛球、乒乓球场地设施建设与城市更新、“国球进公园”活动紧密结合，推广“金边银角”嵌入式场地建设。持续推进口袋体育公园、健身步道、“国球两进”等全民健身基础设施建设，利用市体育中心、绿金湖体育公园、萧濉新河体育公园等空闲地、边角地中增设羽毛球、乒乓球场地。逐步为偏远农村地区配建适老化、适儿化健身设施，根据需要丰富健身设施种类，配建智慧化健身设施。力争每年新建或改造羽毛球、乒乓球场地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80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片，提升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15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分钟健身圈服务功能。到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2026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年底全市人均体育场地面积保持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3.2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平方米以上水平。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市发展和改革委员会、市自然资源和规划局、市住房和城乡建设局、各县（区）人民政府）</w:t>
      </w:r>
    </w:p>
    <w:p w14:paraId="31444B8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_GB2312" w:hAnsi="Times New Roman" w:eastAsia="楷体_GB2312" w:cs="Times New Roman"/>
          <w:b/>
          <w:snapToGrid w:val="0"/>
          <w:color w:val="000000"/>
          <w:kern w:val="0"/>
          <w:sz w:val="32"/>
          <w:szCs w:val="32"/>
          <w:lang w:eastAsia="en-US"/>
        </w:rPr>
        <w:t>10.撬动市场力量盘活闲置资源。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梳理公布全市可用于改造体育设施的闲置工业厂房、商业用房、仓储用房等存量资源目录（重点排查大唐电厂遗址、淮矿集团闲置馆舍、相山区老城区、烈山区采煤沉陷区闲置厂房、濉溪县乡村广场），建立动态更新机制。鼓励社会资本依法依规投资改造成涵盖羽毛球、乒乓球项目的多功能运动空间。对符合条件的项目，实行</w:t>
      </w:r>
      <w:r>
        <w:rPr>
          <w:rFonts w:ascii="Times New Roman" w:hAnsi="Times New Roman" w:eastAsia="楷体_GB2312" w:cs="Times New Roman"/>
          <w:snapToGrid w:val="0"/>
          <w:color w:val="000000"/>
          <w:kern w:val="0"/>
          <w:sz w:val="32"/>
          <w:szCs w:val="32"/>
          <w:lang w:eastAsia="en-US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年过渡期用地政策，落实贷款贴息及房产税、城镇土地使用税优惠。力争每年利用闲置资源新增场地设施不少于</w:t>
      </w:r>
      <w:r>
        <w:rPr>
          <w:rFonts w:ascii="Times New Roman" w:hAnsi="Times New Roman" w:eastAsia="楷体_GB2312" w:cs="Times New Roman"/>
          <w:snapToGrid w:val="0"/>
          <w:color w:val="000000"/>
          <w:kern w:val="0"/>
          <w:sz w:val="32"/>
          <w:szCs w:val="32"/>
          <w:lang w:eastAsia="en-US"/>
        </w:rPr>
        <w:t>8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处。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市发展和改革委员会、市财政局、市工业和信息化局、市自然资源和规划局、市住房和城乡建设局、市税务局、各县（区）人民政府）</w:t>
      </w:r>
    </w:p>
    <w:p w14:paraId="1F4102A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11.激励场馆实施普惠开放。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完善公共体育场馆免费或低收费开放绩效评价机制。支持市体育馆（现有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12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块羽毛球场地）、濉溪县体育馆等场馆与持证教练合作，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力争</w:t>
      </w:r>
      <w:bookmarkStart w:id="14" w:name="_GoBack"/>
      <w:bookmarkEnd w:id="14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每年提供羽毛球、乒乓球公益性培训名额不少于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700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个。推动学校、单位内部体育设施有序开放，鼓励经营性场馆提供“早鸟时段”“工作日白天”等公益时段或惠民服务。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市财政局、市教育局、各县（区）人民政府）</w:t>
      </w:r>
    </w:p>
    <w:p w14:paraId="39BB33D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left"/>
        <w:textAlignment w:val="baseline"/>
        <w:outlineLvl w:val="1"/>
        <w:rPr>
          <w:rFonts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四、打造品牌赛事体系，推动体文旅商深度融合</w:t>
      </w:r>
    </w:p>
    <w:p w14:paraId="53A869C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仿宋_GB2312"/>
          <w:b/>
          <w:snapToGrid w:val="0"/>
          <w:color w:val="000000"/>
          <w:kern w:val="0"/>
          <w:sz w:val="32"/>
          <w:szCs w:val="32"/>
          <w:lang w:eastAsia="en-US"/>
        </w:rPr>
        <w:t>12.积极申办承办高水平赛事。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完善赛事举办支持政策，依托淮北市已形成的“月月有赛事、周周有活动、人人可参与”氛围，积极申办、承办全国性、长三角、淮海经济区和省级高水平羽毛球、乒乓球赛事。以“体育+文旅”融合模式为核心，将羽毛球、乒乓球赛事与大运河文化深度绑定，在隋唐运河古镇、濉溪古城等景区、街区举办特色羽毛球、乒乓球展示交流赛，激活运河文化IP价值，擦亮大运河文化名片。力争每年引进举办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2-3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项具有影响力的品牌赛事，推动体育赛事产业发展。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市发展和改革委员会、市财政局）</w:t>
      </w:r>
    </w:p>
    <w:p w14:paraId="13C4B4E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13.做强“皖美运动汇”群众赛事IP。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常态化举办全民健身赛事季，构建“市-县（区）-镇（街道）-村（社区）-小区”五级群众性赛事体系。围绕羽毛球、乒乓球项目，集中时段组织开展“百队、千人”比赛。借鉴“淮BA”篮球联赛成功经验，打造“淮羽杯”、“淮乒杯”等自主品牌赛事。鼓励工会、团委、妇联等群团组织广泛开展羽毛球、乒乓球群众性赛事活动。力争每年组织各类赛事活动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200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场，参与人数不少于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万人次。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市总工会、团市委、市妇联）</w:t>
      </w:r>
    </w:p>
    <w:p w14:paraId="3C50A87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14.推进青少年赛事体系建设。</w:t>
      </w:r>
      <w:r>
        <w:rPr>
          <w:rFonts w:hint="eastAsia" w:ascii="仿宋_GB2312" w:hAnsi="楷体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高标准承办全国东西南北中羽毛球大赛青少年赛（淮北站）。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将羽毛球、乒乓球项目深度融入校园体育，支持中小学校常态化开展校际联赛。依托现有青少年运动员注册体系（注册人数达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2000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多人），办好全市青少年羽毛球、乒乓球锦标赛和“少年强”乒羽赛，激发青少年长期参与、持续提升的运动热情。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市教育局）</w:t>
      </w:r>
    </w:p>
    <w:p w14:paraId="3D01257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15.深化“赛事+”融合发展。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秉持“一场赛事，带动多重消费”发展理念，鼓励赛事举办方与夔牛天街、四季榴园景区、朔西湖景区等建立合作机制，联合推出“凭赛事票证享受景区消费优惠”等联动措施，打造“跟着赛事去旅行”淮北样板。推动赛事产业链向特色餐饮、主题民宿、文创产品开发等领域延伸，构建“票根+消费”完整经济生态，将赛事“流量”转化为经济“增量”。发挥赛事综合带动效应，引导体育用品销售、体育培训等关联产业集聚发展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市商务局）</w:t>
      </w:r>
    </w:p>
    <w:p w14:paraId="41FBCF5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b w:val="0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eastAsia="en-US"/>
        </w:rPr>
        <w:t>五、激发多元主体活力，共建协同服务发展生态</w:t>
      </w:r>
    </w:p>
    <w:p w14:paraId="6449642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16.引育专业经营主体。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重点引进培育在羽毛球、乒乓球场馆运营、智慧管理、赛事开发等领域具有专长的经营主体。对吸纳持证教练稳定就业、符合条件的机构，根据本市相关政策给与扶持。支持工会按照经费使用管理规定购买运动场馆消费券。力争到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2028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年底，培育专业运营机构不少于</w:t>
      </w: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en-US"/>
        </w:rPr>
        <w:t>15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家。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市人力资源和社会保障局、市总工会）</w:t>
      </w:r>
    </w:p>
    <w:p w14:paraId="7C420AA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17.激活协会服务功能。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发挥市、县（区）羽毛球、乒乓球协会作用，通过政府购买服务支持其在标准制定、人才培训、赛事组织等方面发挥作用。推动体育总会建设向街镇延伸，支持单项协会进校园提供专业体育服务。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各县（区）人民政府）</w:t>
      </w:r>
    </w:p>
    <w:p w14:paraId="2F1A81B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18.赋能基层体育组织。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出台扶持政策，采取以奖代补等方式，重点扶持一批具有赛事组织能力和稳定会员群体的社区俱乐部。简化社区社会组织登记，优化社区俱乐部备案流程和管理方式，支持其在“皖事通”等平台开设体育主页，开展活动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市文化旅游体育局）</w:t>
      </w:r>
    </w:p>
    <w:p w14:paraId="4C769E1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left"/>
        <w:textAlignment w:val="baseline"/>
        <w:outlineLvl w:val="1"/>
        <w:rPr>
          <w:rFonts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Arial" w:hAnsi="Arial" w:eastAsia="黑体" w:cs="Times New Roman"/>
          <w:b w:val="0"/>
          <w:snapToGrid w:val="0"/>
          <w:color w:val="000000"/>
          <w:kern w:val="0"/>
          <w:sz w:val="32"/>
          <w:szCs w:val="32"/>
          <w:lang w:val="en-US" w:eastAsia="en-US" w:bidi="ar-SA"/>
        </w:rPr>
        <w:t>六、完善协调推进机制，确保政策措施落地见效</w:t>
      </w:r>
    </w:p>
    <w:p w14:paraId="24252E6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ascii="楷体" w:hAnsi="楷体" w:eastAsia="楷体" w:cs="Times New Roman"/>
          <w:b/>
          <w:snapToGrid w:val="0"/>
          <w:color w:val="000000"/>
          <w:kern w:val="0"/>
          <w:sz w:val="32"/>
          <w:szCs w:val="32"/>
          <w:lang w:eastAsia="en-US"/>
        </w:rPr>
        <w:t>19.精心组织试点示范。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作为我省确定的试点城市，淮北市重点聚焦盘活闲置资源、引育运营主体、创新服务模式等先行先试。建立由市文化旅游体育局牵头，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市有关单位配合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en-US"/>
        </w:rPr>
        <w:t>的协调推进机制，定期调度工作进展，探索形成可复制、可推广的“淮北经验”，常态化推进落实。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牵头单位：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市文化旅游体育局；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kern w:val="0"/>
          <w:sz w:val="32"/>
          <w:szCs w:val="32"/>
          <w:lang w:eastAsia="zh-CN"/>
        </w:rPr>
        <w:t>配合单位：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市有关单位）</w:t>
      </w:r>
    </w:p>
    <w:p w14:paraId="3253F8F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以上举措自发布之日起实施，有效期至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2028年12月31日。</w:t>
      </w:r>
    </w:p>
    <w:p w14:paraId="73F1C24C">
      <w:pPr>
        <w:pStyle w:val="12"/>
        <w:ind w:left="0" w:leftChars="0" w:firstLine="0" w:firstLineChars="0"/>
        <w:rPr>
          <w:rFonts w:hint="default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28DA7">
    <w:pPr>
      <w:pStyle w:val="7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仿宋_GB2312" w:cs="Times New Roman"/>
        <w:snapToGrid w:val="0"/>
        <w:color w:val="000000"/>
        <w:kern w:val="0"/>
        <w:sz w:val="32"/>
        <w:szCs w:val="32"/>
        <w:lang w:val="en-US" w:eastAsia="en-US" w:bidi="ar-SA"/>
      </w:rPr>
      <w:id w:val="147479214"/>
      <w:docPartObj>
        <w:docPartGallery w:val="autotext"/>
      </w:docPartObj>
    </w:sdtPr>
    <w:sdtEndPr>
      <w:rPr>
        <w:rFonts w:hint="eastAsia" w:ascii="仿宋_GB2312" w:hAnsi="Times New Roman" w:eastAsia="仿宋_GB2312" w:cs="Times New Roman"/>
        <w:snapToGrid w:val="0"/>
        <w:color w:val="000000"/>
        <w:kern w:val="0"/>
        <w:sz w:val="24"/>
        <w:szCs w:val="32"/>
        <w:lang w:val="en-US" w:eastAsia="en-US" w:bidi="ar-SA"/>
      </w:rPr>
    </w:sdtEndPr>
    <w:sdtContent>
      <w:p w14:paraId="1B0EC552">
        <w:pPr>
          <w:tabs>
            <w:tab w:val="center" w:pos="4153"/>
            <w:tab w:val="right" w:pos="8306"/>
          </w:tabs>
          <w:kinsoku/>
          <w:topLinePunct/>
          <w:autoSpaceDE w:val="0"/>
          <w:autoSpaceDN/>
          <w:adjustRightInd w:val="0"/>
          <w:snapToGrid w:val="0"/>
          <w:spacing w:line="560" w:lineRule="exact"/>
          <w:ind w:firstLine="640" w:firstLineChars="200"/>
          <w:jc w:val="left"/>
          <w:textAlignment w:val="baseline"/>
          <w:rPr>
            <w:rFonts w:ascii="Times New Roman" w:hAnsi="Times New Roman" w:eastAsia="仿宋_GB2312" w:cs="Times New Roman"/>
            <w:snapToGrid w:val="0"/>
            <w:color w:val="000000"/>
            <w:kern w:val="0"/>
            <w:sz w:val="18"/>
            <w:szCs w:val="32"/>
            <w:lang w:val="en-US" w:eastAsia="en-US" w:bidi="ar-SA"/>
          </w:rPr>
        </w:pPr>
        <w:r>
          <w:rPr>
            <w:rFonts w:hint="eastAsia" w:ascii="仿宋_GB2312" w:hAnsi="Times New Roman" w:eastAsia="仿宋_GB2312" w:cs="Times New Roman"/>
            <w:snapToGrid w:val="0"/>
            <w:color w:val="000000"/>
            <w:kern w:val="0"/>
            <w:sz w:val="24"/>
            <w:szCs w:val="32"/>
            <w:lang w:val="en-US" w:eastAsia="en-US" w:bidi="ar-SA"/>
          </w:rPr>
          <w:fldChar w:fldCharType="begin"/>
        </w:r>
        <w:r>
          <w:rPr>
            <w:rFonts w:hint="eastAsia" w:ascii="仿宋_GB2312" w:hAnsi="Times New Roman" w:eastAsia="仿宋_GB2312" w:cs="Times New Roman"/>
            <w:snapToGrid w:val="0"/>
            <w:color w:val="000000"/>
            <w:kern w:val="0"/>
            <w:sz w:val="24"/>
            <w:szCs w:val="32"/>
            <w:lang w:val="en-US" w:eastAsia="en-US" w:bidi="ar-SA"/>
          </w:rPr>
          <w:instrText xml:space="preserve"> PAGE   \* MERGEFORMAT </w:instrText>
        </w:r>
        <w:r>
          <w:rPr>
            <w:rFonts w:hint="eastAsia" w:ascii="仿宋_GB2312" w:hAnsi="Times New Roman" w:eastAsia="仿宋_GB2312" w:cs="Times New Roman"/>
            <w:snapToGrid w:val="0"/>
            <w:color w:val="000000"/>
            <w:kern w:val="0"/>
            <w:sz w:val="24"/>
            <w:szCs w:val="32"/>
            <w:lang w:val="en-US" w:eastAsia="en-US" w:bidi="ar-SA"/>
          </w:rPr>
          <w:fldChar w:fldCharType="separate"/>
        </w:r>
        <w:r>
          <w:rPr>
            <w:rFonts w:ascii="仿宋_GB2312" w:hAnsi="Times New Roman" w:eastAsia="仿宋_GB2312" w:cs="Times New Roman"/>
            <w:snapToGrid w:val="0"/>
            <w:color w:val="000000"/>
            <w:kern w:val="0"/>
            <w:sz w:val="24"/>
            <w:szCs w:val="32"/>
            <w:lang w:val="zh-CN" w:eastAsia="en-US" w:bidi="ar-SA"/>
          </w:rPr>
          <w:t>-</w:t>
        </w:r>
        <w:r>
          <w:rPr>
            <w:rFonts w:ascii="仿宋_GB2312" w:hAnsi="Times New Roman" w:eastAsia="仿宋_GB2312" w:cs="Times New Roman"/>
            <w:snapToGrid w:val="0"/>
            <w:color w:val="000000"/>
            <w:kern w:val="0"/>
            <w:sz w:val="24"/>
            <w:szCs w:val="32"/>
            <w:lang w:val="en-US" w:eastAsia="en-US" w:bidi="ar-SA"/>
          </w:rPr>
          <w:t xml:space="preserve"> 1 -</w:t>
        </w:r>
        <w:r>
          <w:rPr>
            <w:rFonts w:hint="eastAsia" w:ascii="仿宋_GB2312" w:hAnsi="Times New Roman" w:eastAsia="仿宋_GB2312" w:cs="Times New Roman"/>
            <w:snapToGrid w:val="0"/>
            <w:color w:val="000000"/>
            <w:kern w:val="0"/>
            <w:sz w:val="24"/>
            <w:szCs w:val="32"/>
            <w:lang w:val="en-US" w:eastAsia="en-US" w:bidi="ar-SA"/>
          </w:rPr>
          <w:fldChar w:fldCharType="end"/>
        </w:r>
      </w:p>
    </w:sdtContent>
  </w:sdt>
  <w:p w14:paraId="15209DF5">
    <w:pPr>
      <w:tabs>
        <w:tab w:val="center" w:pos="4153"/>
        <w:tab w:val="right" w:pos="8306"/>
      </w:tabs>
      <w:kinsoku/>
      <w:topLinePunct/>
      <w:autoSpaceDE w:val="0"/>
      <w:autoSpaceDN/>
      <w:adjustRightInd w:val="0"/>
      <w:snapToGrid w:val="0"/>
      <w:spacing w:line="560" w:lineRule="exact"/>
      <w:ind w:firstLine="360" w:firstLineChars="200"/>
      <w:jc w:val="left"/>
      <w:textAlignment w:val="baseline"/>
      <w:rPr>
        <w:rFonts w:ascii="Times New Roman" w:hAnsi="Times New Roman" w:eastAsia="仿宋_GB2312" w:cs="Times New Roman"/>
        <w:snapToGrid w:val="0"/>
        <w:color w:val="000000"/>
        <w:kern w:val="0"/>
        <w:sz w:val="18"/>
        <w:szCs w:val="32"/>
        <w:lang w:val="en-US" w:eastAsia="en-US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ODE3YzUxNjg5NTgxMTNiNzExNmFjNzJiYWY2NWIifQ=="/>
    <w:docVar w:name="KSO_WPS_MARK_KEY" w:val="6ca10db6-ef8f-43b8-bdfc-0e54677ac919"/>
  </w:docVars>
  <w:rsids>
    <w:rsidRoot w:val="0EF24D32"/>
    <w:rsid w:val="004326E2"/>
    <w:rsid w:val="00D91EDB"/>
    <w:rsid w:val="018A7D6C"/>
    <w:rsid w:val="01C436CA"/>
    <w:rsid w:val="022513AB"/>
    <w:rsid w:val="02527C97"/>
    <w:rsid w:val="027A4C4E"/>
    <w:rsid w:val="02D547CF"/>
    <w:rsid w:val="03C76963"/>
    <w:rsid w:val="03DC3517"/>
    <w:rsid w:val="04620240"/>
    <w:rsid w:val="046763A7"/>
    <w:rsid w:val="047240F8"/>
    <w:rsid w:val="048C54B6"/>
    <w:rsid w:val="052660E0"/>
    <w:rsid w:val="05656433"/>
    <w:rsid w:val="05CB0B67"/>
    <w:rsid w:val="07D07AAD"/>
    <w:rsid w:val="07D258D6"/>
    <w:rsid w:val="08032A2A"/>
    <w:rsid w:val="083C506E"/>
    <w:rsid w:val="08585DDB"/>
    <w:rsid w:val="085D5AE7"/>
    <w:rsid w:val="08690870"/>
    <w:rsid w:val="087E1A42"/>
    <w:rsid w:val="08D94AC8"/>
    <w:rsid w:val="0931465F"/>
    <w:rsid w:val="0946657C"/>
    <w:rsid w:val="09870FD4"/>
    <w:rsid w:val="0992356F"/>
    <w:rsid w:val="09A73664"/>
    <w:rsid w:val="09E104F5"/>
    <w:rsid w:val="0A322D00"/>
    <w:rsid w:val="0A6D5A71"/>
    <w:rsid w:val="0B2E376B"/>
    <w:rsid w:val="0B460A44"/>
    <w:rsid w:val="0B6B4BEC"/>
    <w:rsid w:val="0B712C62"/>
    <w:rsid w:val="0B9B421C"/>
    <w:rsid w:val="0CA970BA"/>
    <w:rsid w:val="0D61163E"/>
    <w:rsid w:val="0D864F96"/>
    <w:rsid w:val="0DB31D06"/>
    <w:rsid w:val="0DB8556E"/>
    <w:rsid w:val="0E707BF7"/>
    <w:rsid w:val="0EF24D32"/>
    <w:rsid w:val="0F1076C2"/>
    <w:rsid w:val="0F48621E"/>
    <w:rsid w:val="108C6ADF"/>
    <w:rsid w:val="109C11D1"/>
    <w:rsid w:val="10FB5E9E"/>
    <w:rsid w:val="113B1A66"/>
    <w:rsid w:val="114A6CCB"/>
    <w:rsid w:val="11DB6B37"/>
    <w:rsid w:val="122D02D9"/>
    <w:rsid w:val="12532493"/>
    <w:rsid w:val="12966E85"/>
    <w:rsid w:val="12D025B8"/>
    <w:rsid w:val="13245E65"/>
    <w:rsid w:val="13591DD1"/>
    <w:rsid w:val="13982CEC"/>
    <w:rsid w:val="13A618F1"/>
    <w:rsid w:val="13DB5B12"/>
    <w:rsid w:val="165F2A2B"/>
    <w:rsid w:val="167209B0"/>
    <w:rsid w:val="16B66C03"/>
    <w:rsid w:val="16BD5490"/>
    <w:rsid w:val="173072CF"/>
    <w:rsid w:val="173A2C14"/>
    <w:rsid w:val="17596DB8"/>
    <w:rsid w:val="18290417"/>
    <w:rsid w:val="18777ACC"/>
    <w:rsid w:val="189270E7"/>
    <w:rsid w:val="18E63685"/>
    <w:rsid w:val="190F4842"/>
    <w:rsid w:val="191B1EC2"/>
    <w:rsid w:val="194B133C"/>
    <w:rsid w:val="19926A91"/>
    <w:rsid w:val="19B16754"/>
    <w:rsid w:val="19FC4028"/>
    <w:rsid w:val="1A085D33"/>
    <w:rsid w:val="1A090D78"/>
    <w:rsid w:val="1A5D6C27"/>
    <w:rsid w:val="1AA56756"/>
    <w:rsid w:val="1ACE4623"/>
    <w:rsid w:val="1AE66E6E"/>
    <w:rsid w:val="1B544C14"/>
    <w:rsid w:val="1B913790"/>
    <w:rsid w:val="1BBD7521"/>
    <w:rsid w:val="1BC21CBE"/>
    <w:rsid w:val="1BC84DE2"/>
    <w:rsid w:val="1D61557C"/>
    <w:rsid w:val="1DBC0A46"/>
    <w:rsid w:val="1E526025"/>
    <w:rsid w:val="1E600D5F"/>
    <w:rsid w:val="1E625BAC"/>
    <w:rsid w:val="1F2B1AC7"/>
    <w:rsid w:val="1F953B22"/>
    <w:rsid w:val="1FE41C3D"/>
    <w:rsid w:val="207419E5"/>
    <w:rsid w:val="219D1169"/>
    <w:rsid w:val="21E10765"/>
    <w:rsid w:val="22110A62"/>
    <w:rsid w:val="23176323"/>
    <w:rsid w:val="23F51878"/>
    <w:rsid w:val="240F3CE2"/>
    <w:rsid w:val="25010FC5"/>
    <w:rsid w:val="25C36B23"/>
    <w:rsid w:val="25DD396C"/>
    <w:rsid w:val="26166A1E"/>
    <w:rsid w:val="270C610C"/>
    <w:rsid w:val="281A2C55"/>
    <w:rsid w:val="286D43E2"/>
    <w:rsid w:val="29363A64"/>
    <w:rsid w:val="296C3E44"/>
    <w:rsid w:val="29755A2A"/>
    <w:rsid w:val="29D137E8"/>
    <w:rsid w:val="29E10D9E"/>
    <w:rsid w:val="2A254643"/>
    <w:rsid w:val="2A280E6A"/>
    <w:rsid w:val="2A450C47"/>
    <w:rsid w:val="2A6276FE"/>
    <w:rsid w:val="2B1F2B5C"/>
    <w:rsid w:val="2B1F3953"/>
    <w:rsid w:val="2C5650D3"/>
    <w:rsid w:val="2C794F7E"/>
    <w:rsid w:val="2CA609AC"/>
    <w:rsid w:val="2D6617CC"/>
    <w:rsid w:val="2D6B429A"/>
    <w:rsid w:val="2D877614"/>
    <w:rsid w:val="2DD35ED1"/>
    <w:rsid w:val="2DEA4E78"/>
    <w:rsid w:val="2E03449F"/>
    <w:rsid w:val="2E2C302B"/>
    <w:rsid w:val="2E492A8E"/>
    <w:rsid w:val="2E741D86"/>
    <w:rsid w:val="2E7E61A1"/>
    <w:rsid w:val="2E9B4FC4"/>
    <w:rsid w:val="2EBC3ADF"/>
    <w:rsid w:val="2F5637FC"/>
    <w:rsid w:val="2F77198D"/>
    <w:rsid w:val="2FA87B60"/>
    <w:rsid w:val="2FF67EAF"/>
    <w:rsid w:val="308C5D5A"/>
    <w:rsid w:val="30A8393C"/>
    <w:rsid w:val="30E3191E"/>
    <w:rsid w:val="31FE1279"/>
    <w:rsid w:val="32B47826"/>
    <w:rsid w:val="32B93763"/>
    <w:rsid w:val="32EB7691"/>
    <w:rsid w:val="33A134C3"/>
    <w:rsid w:val="3416072E"/>
    <w:rsid w:val="344318AF"/>
    <w:rsid w:val="34F10617"/>
    <w:rsid w:val="357760F1"/>
    <w:rsid w:val="359D6719"/>
    <w:rsid w:val="35C66453"/>
    <w:rsid w:val="35DF0BFD"/>
    <w:rsid w:val="36E7289C"/>
    <w:rsid w:val="370D59D8"/>
    <w:rsid w:val="375F613F"/>
    <w:rsid w:val="37D54B1E"/>
    <w:rsid w:val="382D3D5E"/>
    <w:rsid w:val="38AB3571"/>
    <w:rsid w:val="3A005FC2"/>
    <w:rsid w:val="3A092B2A"/>
    <w:rsid w:val="3A166D23"/>
    <w:rsid w:val="3A5B5A66"/>
    <w:rsid w:val="3A5F45D9"/>
    <w:rsid w:val="3A920693"/>
    <w:rsid w:val="3AD27596"/>
    <w:rsid w:val="3ADE2258"/>
    <w:rsid w:val="3C9D223D"/>
    <w:rsid w:val="3D366E34"/>
    <w:rsid w:val="3D997389"/>
    <w:rsid w:val="3E114092"/>
    <w:rsid w:val="3F19239C"/>
    <w:rsid w:val="3F1955BD"/>
    <w:rsid w:val="3F38225F"/>
    <w:rsid w:val="3F9F5B48"/>
    <w:rsid w:val="3FED0C82"/>
    <w:rsid w:val="400809D9"/>
    <w:rsid w:val="4038783C"/>
    <w:rsid w:val="405C216C"/>
    <w:rsid w:val="407D392A"/>
    <w:rsid w:val="40AE52B0"/>
    <w:rsid w:val="40F7342D"/>
    <w:rsid w:val="41A20BC2"/>
    <w:rsid w:val="41E41143"/>
    <w:rsid w:val="42132798"/>
    <w:rsid w:val="424331F4"/>
    <w:rsid w:val="428458B9"/>
    <w:rsid w:val="42F1387D"/>
    <w:rsid w:val="430E60F0"/>
    <w:rsid w:val="43880010"/>
    <w:rsid w:val="43B85262"/>
    <w:rsid w:val="43EA58B3"/>
    <w:rsid w:val="440C66A2"/>
    <w:rsid w:val="45092B91"/>
    <w:rsid w:val="457E123E"/>
    <w:rsid w:val="45CC0935"/>
    <w:rsid w:val="47780581"/>
    <w:rsid w:val="47A26CD4"/>
    <w:rsid w:val="47F866B8"/>
    <w:rsid w:val="483270F0"/>
    <w:rsid w:val="486E4AE7"/>
    <w:rsid w:val="48B51277"/>
    <w:rsid w:val="4A7E3633"/>
    <w:rsid w:val="4A9466F0"/>
    <w:rsid w:val="4ADF6756"/>
    <w:rsid w:val="4B360F57"/>
    <w:rsid w:val="4BD94FF1"/>
    <w:rsid w:val="4BDE7BB0"/>
    <w:rsid w:val="4C4501AD"/>
    <w:rsid w:val="4C9C271C"/>
    <w:rsid w:val="4CB25067"/>
    <w:rsid w:val="4CCF5274"/>
    <w:rsid w:val="4CF90F82"/>
    <w:rsid w:val="4D714816"/>
    <w:rsid w:val="4DB3516D"/>
    <w:rsid w:val="4DBF699E"/>
    <w:rsid w:val="4DEA6AA2"/>
    <w:rsid w:val="4DFF6A1B"/>
    <w:rsid w:val="4ECA4012"/>
    <w:rsid w:val="4FEE21BD"/>
    <w:rsid w:val="505C14F1"/>
    <w:rsid w:val="50BD5A5F"/>
    <w:rsid w:val="50D15CF8"/>
    <w:rsid w:val="518C2609"/>
    <w:rsid w:val="528C4234"/>
    <w:rsid w:val="52AF6B2E"/>
    <w:rsid w:val="52CE451F"/>
    <w:rsid w:val="53061753"/>
    <w:rsid w:val="53073C53"/>
    <w:rsid w:val="534A745B"/>
    <w:rsid w:val="534E56D8"/>
    <w:rsid w:val="536754D3"/>
    <w:rsid w:val="53DD49B3"/>
    <w:rsid w:val="53F2715F"/>
    <w:rsid w:val="542F7A94"/>
    <w:rsid w:val="544A3CB8"/>
    <w:rsid w:val="5478472B"/>
    <w:rsid w:val="548D323E"/>
    <w:rsid w:val="54B3444C"/>
    <w:rsid w:val="55A102FF"/>
    <w:rsid w:val="55CC2F32"/>
    <w:rsid w:val="562543F0"/>
    <w:rsid w:val="563034C0"/>
    <w:rsid w:val="56567B54"/>
    <w:rsid w:val="568157E7"/>
    <w:rsid w:val="56EB73E7"/>
    <w:rsid w:val="56FA36BA"/>
    <w:rsid w:val="574A0AC5"/>
    <w:rsid w:val="577208B0"/>
    <w:rsid w:val="57BB6426"/>
    <w:rsid w:val="582162E2"/>
    <w:rsid w:val="5839511C"/>
    <w:rsid w:val="59AB1A53"/>
    <w:rsid w:val="5A6A15E8"/>
    <w:rsid w:val="5A81740D"/>
    <w:rsid w:val="5AC21114"/>
    <w:rsid w:val="5B1E3D3B"/>
    <w:rsid w:val="5B61236E"/>
    <w:rsid w:val="5C6B19EE"/>
    <w:rsid w:val="5D3A3B87"/>
    <w:rsid w:val="5E2F62ED"/>
    <w:rsid w:val="5F0D4822"/>
    <w:rsid w:val="5F8412B4"/>
    <w:rsid w:val="5FB40E46"/>
    <w:rsid w:val="60356DDD"/>
    <w:rsid w:val="60600E46"/>
    <w:rsid w:val="60830AF3"/>
    <w:rsid w:val="62106DE0"/>
    <w:rsid w:val="6227291A"/>
    <w:rsid w:val="62705F26"/>
    <w:rsid w:val="6297177E"/>
    <w:rsid w:val="631C0F5D"/>
    <w:rsid w:val="631C79A9"/>
    <w:rsid w:val="63D92D38"/>
    <w:rsid w:val="63FF020A"/>
    <w:rsid w:val="64F303EB"/>
    <w:rsid w:val="65646FD1"/>
    <w:rsid w:val="65F967F2"/>
    <w:rsid w:val="66F30689"/>
    <w:rsid w:val="67300851"/>
    <w:rsid w:val="67425F83"/>
    <w:rsid w:val="67477B92"/>
    <w:rsid w:val="67895050"/>
    <w:rsid w:val="67A77C5F"/>
    <w:rsid w:val="682B1D3A"/>
    <w:rsid w:val="68AA0EB0"/>
    <w:rsid w:val="68ED3B7E"/>
    <w:rsid w:val="697A72FA"/>
    <w:rsid w:val="699D6C67"/>
    <w:rsid w:val="69A022B3"/>
    <w:rsid w:val="6A873A5A"/>
    <w:rsid w:val="6A9749E7"/>
    <w:rsid w:val="6AA64D64"/>
    <w:rsid w:val="6AB37DC4"/>
    <w:rsid w:val="6AB44D35"/>
    <w:rsid w:val="6B5B0B88"/>
    <w:rsid w:val="6B6E004F"/>
    <w:rsid w:val="6BD644AB"/>
    <w:rsid w:val="6BDA6ACC"/>
    <w:rsid w:val="6C2C6080"/>
    <w:rsid w:val="6C2E2DE0"/>
    <w:rsid w:val="6C8A1C73"/>
    <w:rsid w:val="6CED1E93"/>
    <w:rsid w:val="6D463172"/>
    <w:rsid w:val="6DFD44EA"/>
    <w:rsid w:val="6ECE5839"/>
    <w:rsid w:val="6F9C5075"/>
    <w:rsid w:val="6FA03259"/>
    <w:rsid w:val="6FA06921"/>
    <w:rsid w:val="6FEB20A2"/>
    <w:rsid w:val="70142C4C"/>
    <w:rsid w:val="704E4817"/>
    <w:rsid w:val="70D34D1C"/>
    <w:rsid w:val="71052712"/>
    <w:rsid w:val="711810F9"/>
    <w:rsid w:val="716B7073"/>
    <w:rsid w:val="718B717A"/>
    <w:rsid w:val="718C36D9"/>
    <w:rsid w:val="71944339"/>
    <w:rsid w:val="71E061D8"/>
    <w:rsid w:val="72BD5E75"/>
    <w:rsid w:val="72BE6102"/>
    <w:rsid w:val="73041279"/>
    <w:rsid w:val="73495CA7"/>
    <w:rsid w:val="736D2E61"/>
    <w:rsid w:val="736F47E6"/>
    <w:rsid w:val="75066682"/>
    <w:rsid w:val="763A1732"/>
    <w:rsid w:val="7646264C"/>
    <w:rsid w:val="76EC6F1F"/>
    <w:rsid w:val="770177F9"/>
    <w:rsid w:val="782725A2"/>
    <w:rsid w:val="7855257B"/>
    <w:rsid w:val="789B0816"/>
    <w:rsid w:val="78BB7722"/>
    <w:rsid w:val="790D6F07"/>
    <w:rsid w:val="79194C91"/>
    <w:rsid w:val="795B0F54"/>
    <w:rsid w:val="7986799B"/>
    <w:rsid w:val="79DC4B46"/>
    <w:rsid w:val="7A127569"/>
    <w:rsid w:val="7A613399"/>
    <w:rsid w:val="7AAB1B08"/>
    <w:rsid w:val="7B7B048A"/>
    <w:rsid w:val="7C2E46AC"/>
    <w:rsid w:val="7C4F5D51"/>
    <w:rsid w:val="7C5E6DE8"/>
    <w:rsid w:val="7C862F46"/>
    <w:rsid w:val="7D2E41F7"/>
    <w:rsid w:val="7D6A7DEE"/>
    <w:rsid w:val="7DD37882"/>
    <w:rsid w:val="7E5D6509"/>
    <w:rsid w:val="7F080E5D"/>
    <w:rsid w:val="7F7F2FD4"/>
    <w:rsid w:val="7FC863B7"/>
    <w:rsid w:val="7FD0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34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Body Text First Indent 2"/>
    <w:basedOn w:val="5"/>
    <w:unhideWhenUsed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mphasis"/>
    <w:basedOn w:val="15"/>
    <w:qFormat/>
    <w:uiPriority w:val="0"/>
    <w:rPr>
      <w:i/>
    </w:rPr>
  </w:style>
  <w:style w:type="character" w:styleId="18">
    <w:name w:val="HTML Code"/>
    <w:basedOn w:val="15"/>
    <w:qFormat/>
    <w:uiPriority w:val="0"/>
    <w:rPr>
      <w:rFonts w:ascii="Courier New" w:hAnsi="Courier New"/>
      <w:sz w:val="20"/>
    </w:rPr>
  </w:style>
  <w:style w:type="character" w:styleId="19">
    <w:name w:val="footnote reference"/>
    <w:basedOn w:val="15"/>
    <w:qFormat/>
    <w:uiPriority w:val="0"/>
    <w:rPr>
      <w:vertAlign w:val="superscript"/>
    </w:rPr>
  </w:style>
  <w:style w:type="paragraph" w:customStyle="1" w:styleId="2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2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3">
    <w:name w:val="font8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24">
    <w:name w:val="font14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25">
    <w:name w:val="font151"/>
    <w:basedOn w:val="1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6">
    <w:name w:val="font161"/>
    <w:basedOn w:val="1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7">
    <w:name w:val="font17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28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9">
    <w:name w:val="font181"/>
    <w:basedOn w:val="1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0">
    <w:name w:val="font91"/>
    <w:basedOn w:val="15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31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32">
    <w:name w:val="font7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33">
    <w:name w:val="font13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34">
    <w:name w:val="标题 3 Char"/>
    <w:link w:val="4"/>
    <w:qFormat/>
    <w:uiPriority w:val="0"/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customStyle="1" w:styleId="35">
    <w:name w:val="font41"/>
    <w:basedOn w:val="15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36">
    <w:name w:val="font11"/>
    <w:basedOn w:val="1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4010</Words>
  <Characters>4094</Characters>
  <Lines>0</Lines>
  <Paragraphs>0</Paragraphs>
  <TotalTime>4</TotalTime>
  <ScaleCrop>false</ScaleCrop>
  <LinksUpToDate>false</LinksUpToDate>
  <CharactersWithSpaces>4098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2025-12-15T14:45:00Z</dcterms:created>
  <dc:creator>李经龙安徽大学</dc:creator>
  <cp:lastModifiedBy>徐烁</cp:lastModifiedBy>
  <dcterms:modified xsi:type="dcterms:W3CDTF">2026-08-18T01:54:23Z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5640971FA72F4734B6DC39F0BB73BEC5</vt:lpwstr>
  </property>
  <property fmtid="{D5CDD505-2E9C-101B-9397-08002B2CF9AE}" pid="4" name="KSOTemplateDocerSaveRecord">
    <vt:lpwstr>eyJoZGlkIjoiMTVlMTk4NDMwYTIyMmYwODYyZmE1NzljOWJjOTA0MzYiLCJ1c2VySWQiOiIxMTMyMDEyNDc0In0=</vt:lpwstr>
  </property>
</Properties>
</file>